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E3" w:rsidRDefault="004A61E3" w:rsidP="00851713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uk-UA" w:eastAsia="ru-RU"/>
        </w:rPr>
      </w:pPr>
    </w:p>
    <w:p w:rsidR="00851713" w:rsidRPr="00BD602B" w:rsidRDefault="00851713" w:rsidP="00BD602B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Cs w:val="28"/>
          <w:lang w:val="uk-UA" w:eastAsia="ru-RU"/>
        </w:rPr>
      </w:pPr>
      <w:r w:rsidRPr="00BD602B">
        <w:rPr>
          <w:rFonts w:eastAsia="Times New Roman" w:cs="Times New Roman"/>
          <w:b/>
          <w:bCs/>
          <w:kern w:val="36"/>
          <w:szCs w:val="28"/>
          <w:lang w:val="uk-UA" w:eastAsia="ru-RU"/>
        </w:rPr>
        <w:t>АНАЛІЗ РЕГУЛЯТОРНОГО ВПЛИВУ</w:t>
      </w:r>
      <w:r w:rsidR="00BD602B">
        <w:rPr>
          <w:rFonts w:eastAsia="Times New Roman" w:cs="Times New Roman"/>
          <w:b/>
          <w:bCs/>
          <w:kern w:val="36"/>
          <w:szCs w:val="28"/>
          <w:lang w:val="uk-UA" w:eastAsia="ru-RU"/>
        </w:rPr>
        <w:t xml:space="preserve">                                               </w:t>
      </w:r>
      <w:r w:rsidRPr="00BD602B">
        <w:rPr>
          <w:rFonts w:eastAsia="Times New Roman" w:cs="Times New Roman"/>
          <w:b/>
          <w:bCs/>
          <w:kern w:val="36"/>
          <w:szCs w:val="28"/>
          <w:lang w:val="uk-UA" w:eastAsia="ru-RU"/>
        </w:rPr>
        <w:t xml:space="preserve"> </w:t>
      </w:r>
      <w:r w:rsidR="004A61E3" w:rsidRPr="00BD602B">
        <w:rPr>
          <w:rFonts w:eastAsia="Times New Roman" w:cs="Times New Roman"/>
          <w:b/>
          <w:bCs/>
          <w:kern w:val="36"/>
          <w:szCs w:val="28"/>
          <w:lang w:val="uk-UA" w:eastAsia="ru-RU"/>
        </w:rPr>
        <w:t xml:space="preserve">проекту рішення Роздольської </w:t>
      </w:r>
      <w:r w:rsidRPr="00BD602B">
        <w:rPr>
          <w:rFonts w:eastAsia="Times New Roman" w:cs="Times New Roman"/>
          <w:b/>
          <w:bCs/>
          <w:kern w:val="36"/>
          <w:szCs w:val="28"/>
          <w:lang w:val="uk-UA" w:eastAsia="ru-RU"/>
        </w:rPr>
        <w:t>сільської</w:t>
      </w:r>
      <w:r w:rsidR="004A61E3" w:rsidRPr="00BD602B">
        <w:rPr>
          <w:rFonts w:eastAsia="Times New Roman" w:cs="Times New Roman"/>
          <w:b/>
          <w:bCs/>
          <w:kern w:val="36"/>
          <w:szCs w:val="28"/>
          <w:lang w:val="uk-UA" w:eastAsia="ru-RU"/>
        </w:rPr>
        <w:t xml:space="preserve"> ради « Про встановлення </w:t>
      </w:r>
      <w:r w:rsidRPr="00BD602B">
        <w:rPr>
          <w:rFonts w:eastAsia="Times New Roman" w:cs="Times New Roman"/>
          <w:b/>
          <w:bCs/>
          <w:kern w:val="36"/>
          <w:szCs w:val="28"/>
          <w:lang w:val="uk-UA" w:eastAsia="ru-RU"/>
        </w:rPr>
        <w:t xml:space="preserve"> ставок</w:t>
      </w:r>
      <w:r w:rsidR="004A61E3" w:rsidRPr="00BD602B">
        <w:rPr>
          <w:rFonts w:eastAsia="Times New Roman" w:cs="Times New Roman"/>
          <w:b/>
          <w:bCs/>
          <w:kern w:val="36"/>
          <w:szCs w:val="28"/>
          <w:lang w:val="uk-UA" w:eastAsia="ru-RU"/>
        </w:rPr>
        <w:t xml:space="preserve"> та пільг</w:t>
      </w:r>
      <w:r w:rsidR="00622A14">
        <w:rPr>
          <w:rFonts w:eastAsia="Times New Roman" w:cs="Times New Roman"/>
          <w:b/>
          <w:bCs/>
          <w:kern w:val="36"/>
          <w:szCs w:val="28"/>
          <w:lang w:val="uk-UA" w:eastAsia="ru-RU"/>
        </w:rPr>
        <w:t xml:space="preserve"> із</w:t>
      </w:r>
      <w:r w:rsidR="004A61E3" w:rsidRPr="00BD602B">
        <w:rPr>
          <w:rFonts w:eastAsia="Times New Roman" w:cs="Times New Roman"/>
          <w:b/>
          <w:bCs/>
          <w:kern w:val="36"/>
          <w:szCs w:val="28"/>
          <w:lang w:val="uk-UA" w:eastAsia="ru-RU"/>
        </w:rPr>
        <w:t xml:space="preserve"> сплати земельного податку</w:t>
      </w:r>
      <w:r w:rsidR="00D12F4E">
        <w:rPr>
          <w:rFonts w:eastAsia="Times New Roman" w:cs="Times New Roman"/>
          <w:b/>
          <w:bCs/>
          <w:kern w:val="36"/>
          <w:szCs w:val="28"/>
          <w:lang w:val="uk-UA" w:eastAsia="ru-RU"/>
        </w:rPr>
        <w:t xml:space="preserve"> на 2021</w:t>
      </w:r>
      <w:r w:rsidR="004A61E3" w:rsidRPr="00BD602B">
        <w:rPr>
          <w:rFonts w:eastAsia="Times New Roman" w:cs="Times New Roman"/>
          <w:b/>
          <w:bCs/>
          <w:kern w:val="36"/>
          <w:szCs w:val="28"/>
          <w:lang w:val="uk-UA" w:eastAsia="ru-RU"/>
        </w:rPr>
        <w:t xml:space="preserve"> рік </w:t>
      </w:r>
      <w:r w:rsidRPr="00BD602B">
        <w:rPr>
          <w:rFonts w:eastAsia="Times New Roman" w:cs="Times New Roman"/>
          <w:b/>
          <w:bCs/>
          <w:kern w:val="36"/>
          <w:szCs w:val="28"/>
          <w:lang w:val="uk-UA" w:eastAsia="ru-RU"/>
        </w:rPr>
        <w:t>»</w:t>
      </w: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</w:p>
    <w:p w:rsidR="00851713" w:rsidRPr="00851713" w:rsidRDefault="00851713" w:rsidP="00851713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1.Визначення проблеми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            Відповідно статті 10 та пункту 12.3 статті 12 Податкового кодексу України законодавчо закріплено право органів місцевого самоврядування приймати рішення про встановлення місцевих податків і зборів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 xml:space="preserve"> межах своїх повноважень та в порядку, визначеному цим кодексом.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           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ішення про встановлення місцевих податків і зборів є нормативно-правовим актом, копія якого надсилається в електронному вигляді у десятиденний строк з дня прийняття до контролюючого органу, в якому перебувають на обліку платники відповідних місцевих податків та зборів, але не пізніше 1 липня року та офіційно оприлюднюється органом місцевого самоврядування до 15 липня, що передує бюджетному періоду, в якому планується застосовування встановлюваних місцевих податкі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 xml:space="preserve"> та зборів або змін до них (плановий період).</w:t>
      </w:r>
      <w:r w:rsidR="009B7053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851713">
        <w:rPr>
          <w:rFonts w:eastAsia="Times New Roman" w:cs="Times New Roman"/>
          <w:sz w:val="24"/>
          <w:szCs w:val="24"/>
          <w:lang w:eastAsia="ru-RU"/>
        </w:rPr>
        <w:t xml:space="preserve">В іншому разі норми відповідних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ішень застосовуються не раніше початку бюджетного періоду, що настає за плановим періодом.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            У разі якщо сільська рада не прийняла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ішення про встановлення відповідних місцевих податків і зборів, що є обов’язковими згідно з нормами Податкового кодексу, такі податки до прийняття рішення справляються виходячи з норм Податкового кодексу із застосуванням їх мінімальних ставок, а плата за землю буде справляться із застосуванням ставок, які діяли до 31 грудня року, що передує бюджетному,</w:t>
      </w:r>
      <w:r w:rsidR="0071338C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851713">
        <w:rPr>
          <w:rFonts w:eastAsia="Times New Roman" w:cs="Times New Roman"/>
          <w:sz w:val="24"/>
          <w:szCs w:val="24"/>
          <w:lang w:eastAsia="ru-RU"/>
        </w:rPr>
        <w:t>в якому планується застосування плати за землю.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            Місцеві податки і збори зараховуються в повному обсязі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до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 xml:space="preserve"> сільського бюджету об'єднаної територіальної громади та є бюджето-формуючим джерелом на забезпечення діяльності функціонування бюджетних установ та на благоустрій територій територіальної громади. Прийняття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ішення  впорядкує деякі питання  ведення бізнесу, зменшить витрати часу платників податків на виконання обов’язкових процедур щодо декларування сум податків та їх сплату, підвищить інвестиційну привабливість населених пунктів сільської ради.</w:t>
      </w:r>
    </w:p>
    <w:p w:rsidR="0071338C" w:rsidRPr="009B7053" w:rsidRDefault="00851713" w:rsidP="0071338C">
      <w:pPr>
        <w:spacing w:before="100" w:beforeAutospacing="1" w:after="100" w:afterAutospacing="1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851713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Основні групи, </w:t>
      </w:r>
      <w:proofErr w:type="gramStart"/>
      <w:r w:rsidRPr="00851713">
        <w:rPr>
          <w:rFonts w:eastAsia="Times New Roman" w:cs="Times New Roman"/>
          <w:i/>
          <w:iCs/>
          <w:sz w:val="24"/>
          <w:szCs w:val="24"/>
          <w:lang w:eastAsia="ru-RU"/>
        </w:rPr>
        <w:t>на</w:t>
      </w:r>
      <w:proofErr w:type="gramEnd"/>
      <w:r w:rsidRPr="00851713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які проблема справляє вплив:</w:t>
      </w:r>
      <w:r w:rsidR="00C81A12">
        <w:rPr>
          <w:rFonts w:eastAsia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1338C" w:rsidRPr="00851713">
        <w:rPr>
          <w:rFonts w:eastAsia="Times New Roman" w:cs="Times New Roman"/>
          <w:sz w:val="24"/>
          <w:szCs w:val="24"/>
          <w:lang w:eastAsia="ru-RU"/>
        </w:rPr>
        <w:t xml:space="preserve"> Виходячи з вищевикладеного, з метою безумовного виконання Податкового кодексу України, недопущення суперечливих ситуацій, забезпечення дохідної частини сільського бюджету, виконання програм </w:t>
      </w:r>
      <w:proofErr w:type="gramStart"/>
      <w:r w:rsidR="0071338C" w:rsidRPr="00851713">
        <w:rPr>
          <w:rFonts w:eastAsia="Times New Roman" w:cs="Times New Roman"/>
          <w:sz w:val="24"/>
          <w:szCs w:val="24"/>
          <w:lang w:eastAsia="ru-RU"/>
        </w:rPr>
        <w:t>соц</w:t>
      </w:r>
      <w:proofErr w:type="gramEnd"/>
      <w:r w:rsidR="0071338C" w:rsidRPr="00851713">
        <w:rPr>
          <w:rFonts w:eastAsia="Times New Roman" w:cs="Times New Roman"/>
          <w:sz w:val="24"/>
          <w:szCs w:val="24"/>
          <w:lang w:eastAsia="ru-RU"/>
        </w:rPr>
        <w:t>іально-економічного розвитку об'єднаної територіальної громади, сільська рада має прийняти рішення </w:t>
      </w:r>
      <w:r w:rsidR="0071338C" w:rsidRPr="00851713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«</w:t>
      </w:r>
      <w:r w:rsidR="0071338C" w:rsidRPr="009B7053">
        <w:rPr>
          <w:rFonts w:eastAsia="Times New Roman" w:cs="Times New Roman"/>
          <w:b/>
          <w:sz w:val="24"/>
          <w:szCs w:val="24"/>
          <w:u w:val="single"/>
          <w:lang w:eastAsia="ru-RU"/>
        </w:rPr>
        <w:t xml:space="preserve">Про </w:t>
      </w:r>
      <w:r w:rsidR="0071338C" w:rsidRPr="009B7053">
        <w:rPr>
          <w:rFonts w:eastAsia="Times New Roman" w:cs="Times New Roman"/>
          <w:b/>
          <w:sz w:val="24"/>
          <w:szCs w:val="24"/>
          <w:u w:val="single"/>
          <w:lang w:val="uk-UA" w:eastAsia="ru-RU"/>
        </w:rPr>
        <w:t>встановлення</w:t>
      </w:r>
      <w:r w:rsidR="0071338C" w:rsidRPr="009B7053">
        <w:rPr>
          <w:rFonts w:eastAsia="Times New Roman" w:cs="Times New Roman"/>
          <w:b/>
          <w:sz w:val="24"/>
          <w:szCs w:val="24"/>
          <w:u w:val="single"/>
          <w:lang w:eastAsia="ru-RU"/>
        </w:rPr>
        <w:t xml:space="preserve"> ставок </w:t>
      </w:r>
      <w:r w:rsidR="0071338C" w:rsidRPr="009B7053">
        <w:rPr>
          <w:rFonts w:eastAsia="Times New Roman" w:cs="Times New Roman"/>
          <w:b/>
          <w:sz w:val="24"/>
          <w:szCs w:val="24"/>
          <w:u w:val="single"/>
          <w:lang w:val="uk-UA" w:eastAsia="ru-RU"/>
        </w:rPr>
        <w:t xml:space="preserve">та пільг із сплати земельного податку </w:t>
      </w:r>
      <w:r w:rsidR="00D12F4E">
        <w:rPr>
          <w:rFonts w:eastAsia="Times New Roman" w:cs="Times New Roman"/>
          <w:b/>
          <w:sz w:val="24"/>
          <w:szCs w:val="24"/>
          <w:u w:val="single"/>
          <w:lang w:eastAsia="ru-RU"/>
        </w:rPr>
        <w:t>на 20</w:t>
      </w:r>
      <w:r w:rsidR="00D12F4E">
        <w:rPr>
          <w:rFonts w:eastAsia="Times New Roman" w:cs="Times New Roman"/>
          <w:b/>
          <w:sz w:val="24"/>
          <w:szCs w:val="24"/>
          <w:u w:val="single"/>
          <w:lang w:val="uk-UA" w:eastAsia="ru-RU"/>
        </w:rPr>
        <w:t>21</w:t>
      </w:r>
      <w:r w:rsidR="0071338C">
        <w:rPr>
          <w:rFonts w:eastAsia="Times New Roman" w:cs="Times New Roman"/>
          <w:b/>
          <w:sz w:val="24"/>
          <w:szCs w:val="24"/>
          <w:u w:val="single"/>
          <w:lang w:val="uk-UA" w:eastAsia="ru-RU"/>
        </w:rPr>
        <w:t xml:space="preserve"> рік</w:t>
      </w:r>
      <w:r w:rsidR="0071338C" w:rsidRPr="009B7053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».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485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0"/>
        <w:gridCol w:w="2595"/>
        <w:gridCol w:w="2226"/>
      </w:tblGrid>
      <w:tr w:rsidR="00851713" w:rsidRPr="00851713" w:rsidTr="00237D44">
        <w:trPr>
          <w:tblCellSpacing w:w="15" w:type="dxa"/>
        </w:trPr>
        <w:tc>
          <w:tcPr>
            <w:tcW w:w="540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Групи</w:t>
            </w:r>
          </w:p>
        </w:tc>
        <w:tc>
          <w:tcPr>
            <w:tcW w:w="348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300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Ні</w:t>
            </w:r>
          </w:p>
        </w:tc>
      </w:tr>
      <w:tr w:rsidR="00851713" w:rsidRPr="00851713" w:rsidTr="00237D44">
        <w:trPr>
          <w:tblCellSpacing w:w="15" w:type="dxa"/>
        </w:trPr>
        <w:tc>
          <w:tcPr>
            <w:tcW w:w="540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Громадяни</w:t>
            </w:r>
          </w:p>
        </w:tc>
        <w:tc>
          <w:tcPr>
            <w:tcW w:w="348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300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713" w:rsidRPr="00851713" w:rsidTr="00237D44">
        <w:trPr>
          <w:trHeight w:val="315"/>
          <w:tblCellSpacing w:w="15" w:type="dxa"/>
        </w:trPr>
        <w:tc>
          <w:tcPr>
            <w:tcW w:w="540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Держава</w:t>
            </w:r>
          </w:p>
        </w:tc>
        <w:tc>
          <w:tcPr>
            <w:tcW w:w="348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300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713" w:rsidRPr="00851713" w:rsidTr="00237D44">
        <w:trPr>
          <w:tblCellSpacing w:w="15" w:type="dxa"/>
        </w:trPr>
        <w:tc>
          <w:tcPr>
            <w:tcW w:w="540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Суб’єкти господарювання</w:t>
            </w:r>
          </w:p>
        </w:tc>
        <w:tc>
          <w:tcPr>
            <w:tcW w:w="348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300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713" w:rsidRPr="00851713" w:rsidTr="00237D44">
        <w:trPr>
          <w:tblCellSpacing w:w="15" w:type="dxa"/>
        </w:trPr>
        <w:tc>
          <w:tcPr>
            <w:tcW w:w="540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 тому числі суб’єкти малого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ідприємництва*</w:t>
            </w:r>
          </w:p>
        </w:tc>
        <w:tc>
          <w:tcPr>
            <w:tcW w:w="348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3000" w:type="dxa"/>
            <w:vAlign w:val="center"/>
            <w:hideMark/>
          </w:tcPr>
          <w:p w:rsidR="00851713" w:rsidRPr="00851713" w:rsidRDefault="00851713" w:rsidP="0085171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Обґрунтування неможливості вирішення проблеми за допомогою ринкових механізмі</w:t>
      </w:r>
      <w:proofErr w:type="gramStart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 Застосування ринкових механізмів для вирішення вказаної проблеми не є можливим, оскільки здійснення вищезазначених заходів є засобом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державного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 xml:space="preserve"> регулювання та відповідно до Податкового кодексу України є компетенцією сільської ради.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Обґрунтування неможливості вирішення проблеми за допомогою діючих регуляторних акті</w:t>
      </w:r>
      <w:proofErr w:type="gramStart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Зазначена проблема не може бути вирішена за допомогою діючих регуляторних актів з огляду на вимоги Податкового кодексу України. А саме, у разі, якщо сільська рада у термін до 1 липня не прийняла та до 15 липня не оприлюднила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 xml:space="preserve">ішення про встановлення місцевих податків і зборів на наступний рік, такі податки справляються, виходячи з норми Податкового кодексу України, із застосуванням їх мінімальних ставок та без застосування відповідних коефіцієнтів, а плата за землю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справляється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 xml:space="preserve"> із застосуванням ставок, які діяли до 31 грудня року, що передує бюджетному періоду, в якому планується застосування плати за землю.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II. </w:t>
      </w:r>
      <w:proofErr w:type="gramStart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Ц</w:t>
      </w:r>
      <w:proofErr w:type="gramEnd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ілі державного регулювання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Ц</w:t>
      </w:r>
      <w:proofErr w:type="gramEnd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ілі державного регулювання, безпосередньо пов'язані з розв'язанням проблеми: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Проект регуляторного акта спрямований на розв’язання проблеми, визначеної в попередньому розділі.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Основними цілями регулювання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 xml:space="preserve"> є:</w:t>
      </w:r>
      <w:proofErr w:type="gramEnd"/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- здійснити планування та прогнозування надх</w:t>
      </w:r>
      <w:r w:rsidR="00185F17">
        <w:rPr>
          <w:rFonts w:eastAsia="Times New Roman" w:cs="Times New Roman"/>
          <w:sz w:val="24"/>
          <w:szCs w:val="24"/>
          <w:lang w:eastAsia="ru-RU"/>
        </w:rPr>
        <w:t xml:space="preserve">оджень від </w:t>
      </w:r>
      <w:r w:rsidR="00185F17">
        <w:rPr>
          <w:rFonts w:eastAsia="Times New Roman" w:cs="Times New Roman"/>
          <w:sz w:val="24"/>
          <w:szCs w:val="24"/>
          <w:lang w:val="uk-UA" w:eastAsia="ru-RU"/>
        </w:rPr>
        <w:t xml:space="preserve">сплати </w:t>
      </w:r>
      <w:proofErr w:type="gramStart"/>
      <w:r w:rsidR="00185F17">
        <w:rPr>
          <w:rFonts w:eastAsia="Times New Roman" w:cs="Times New Roman"/>
          <w:sz w:val="24"/>
          <w:szCs w:val="24"/>
          <w:lang w:val="uk-UA" w:eastAsia="ru-RU"/>
        </w:rPr>
        <w:t>земельного</w:t>
      </w:r>
      <w:proofErr w:type="gramEnd"/>
      <w:r w:rsidR="00185F17">
        <w:rPr>
          <w:rFonts w:eastAsia="Times New Roman" w:cs="Times New Roman"/>
          <w:sz w:val="24"/>
          <w:szCs w:val="24"/>
          <w:lang w:val="uk-UA" w:eastAsia="ru-RU"/>
        </w:rPr>
        <w:t xml:space="preserve"> податку </w:t>
      </w:r>
      <w:r w:rsidRPr="00851713">
        <w:rPr>
          <w:rFonts w:eastAsia="Times New Roman" w:cs="Times New Roman"/>
          <w:sz w:val="24"/>
          <w:szCs w:val="24"/>
          <w:lang w:eastAsia="ru-RU"/>
        </w:rPr>
        <w:t>при формуванні бюджету;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- встановити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доц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ільні і обґрунтовані розміри с</w:t>
      </w:r>
      <w:r w:rsidR="00185F17">
        <w:rPr>
          <w:rFonts w:eastAsia="Times New Roman" w:cs="Times New Roman"/>
          <w:sz w:val="24"/>
          <w:szCs w:val="24"/>
          <w:lang w:eastAsia="ru-RU"/>
        </w:rPr>
        <w:t>тавок</w:t>
      </w:r>
      <w:r w:rsidR="0071338C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185F17">
        <w:rPr>
          <w:rFonts w:eastAsia="Times New Roman" w:cs="Times New Roman"/>
          <w:sz w:val="24"/>
          <w:szCs w:val="24"/>
          <w:lang w:val="uk-UA" w:eastAsia="ru-RU"/>
        </w:rPr>
        <w:t>із сплати земельного податку</w:t>
      </w:r>
      <w:r w:rsidRPr="00851713">
        <w:rPr>
          <w:rFonts w:eastAsia="Times New Roman" w:cs="Times New Roman"/>
          <w:sz w:val="24"/>
          <w:szCs w:val="24"/>
          <w:lang w:eastAsia="ru-RU"/>
        </w:rPr>
        <w:t xml:space="preserve"> з урахуванням рівня платоспроможності громадян та суб’єктів господарювання та відповідно до потреб сільського бюджету;</w:t>
      </w:r>
    </w:p>
    <w:p w:rsidR="00851713" w:rsidRPr="00185F17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 - встановити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ільги щодо с</w:t>
      </w:r>
      <w:r w:rsidR="00185F17">
        <w:rPr>
          <w:rFonts w:eastAsia="Times New Roman" w:cs="Times New Roman"/>
          <w:sz w:val="24"/>
          <w:szCs w:val="24"/>
          <w:lang w:eastAsia="ru-RU"/>
        </w:rPr>
        <w:t xml:space="preserve">плати </w:t>
      </w:r>
      <w:r w:rsidR="00185F17">
        <w:rPr>
          <w:rFonts w:eastAsia="Times New Roman" w:cs="Times New Roman"/>
          <w:sz w:val="24"/>
          <w:szCs w:val="24"/>
          <w:lang w:val="uk-UA" w:eastAsia="ru-RU"/>
        </w:rPr>
        <w:t xml:space="preserve">земельного податку </w:t>
      </w:r>
      <w:r w:rsidRPr="00851713">
        <w:rPr>
          <w:rFonts w:eastAsia="Times New Roman" w:cs="Times New Roman"/>
          <w:sz w:val="24"/>
          <w:szCs w:val="24"/>
          <w:lang w:eastAsia="ru-RU"/>
        </w:rPr>
        <w:t>;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- забезпечити своєчасне надходження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до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 xml:space="preserve"> сільського бюджету місцевих податків та зборів;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- забезпечити відкритість процедури, прозорість дій органу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м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ісцевого самоврядування;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- привести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ішення сільської ради у відповідність до норм та ви</w:t>
      </w:r>
      <w:r w:rsidR="0071338C">
        <w:rPr>
          <w:rFonts w:eastAsia="Times New Roman" w:cs="Times New Roman"/>
          <w:sz w:val="24"/>
          <w:szCs w:val="24"/>
          <w:lang w:eastAsia="ru-RU"/>
        </w:rPr>
        <w:t>мог Податкового кодексу України</w:t>
      </w:r>
      <w:r w:rsidR="0071338C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ІІІ.  Визначення та оцінка способів досягнення визначених цілей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1. Визначення альтернативних способі</w:t>
      </w:r>
      <w:proofErr w:type="gramStart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в</w:t>
      </w:r>
      <w:proofErr w:type="gramEnd"/>
    </w:p>
    <w:tbl>
      <w:tblPr>
        <w:tblW w:w="95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7"/>
        <w:gridCol w:w="4833"/>
      </w:tblGrid>
      <w:tr w:rsidR="00851713" w:rsidRPr="00851713" w:rsidTr="00D04759">
        <w:trPr>
          <w:trHeight w:val="345"/>
          <w:tblCellSpacing w:w="15" w:type="dxa"/>
        </w:trPr>
        <w:tc>
          <w:tcPr>
            <w:tcW w:w="4632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Вид альтернативи</w:t>
            </w:r>
          </w:p>
        </w:tc>
        <w:tc>
          <w:tcPr>
            <w:tcW w:w="4788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Опис альтернативи</w:t>
            </w:r>
          </w:p>
        </w:tc>
      </w:tr>
      <w:tr w:rsidR="00851713" w:rsidRPr="00851713" w:rsidTr="00D04759">
        <w:trPr>
          <w:trHeight w:val="1440"/>
          <w:tblCellSpacing w:w="15" w:type="dxa"/>
        </w:trPr>
        <w:tc>
          <w:tcPr>
            <w:tcW w:w="4632" w:type="dxa"/>
            <w:vAlign w:val="center"/>
            <w:hideMark/>
          </w:tcPr>
          <w:p w:rsidR="00E65EBF" w:rsidRPr="00E65EBF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Альтернатива 1.</w:t>
            </w:r>
          </w:p>
          <w:p w:rsidR="00E65EBF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виносити на розгляд сесії сільської ради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ради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не приймати  рішення сільської ради ради </w:t>
            </w: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«Про </w:t>
            </w:r>
            <w:r w:rsidR="00E65E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встановлення </w:t>
            </w:r>
            <w:r w:rsidR="00E65EB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ставок та пільг із сплати земельного податку</w:t>
            </w:r>
            <w:r w:rsidR="00E65E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12F4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 на 20</w:t>
            </w:r>
            <w:r w:rsidR="00D12F4E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21</w:t>
            </w: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рік»</w:t>
            </w:r>
          </w:p>
          <w:p w:rsidR="00185F17" w:rsidRDefault="00185F17" w:rsidP="00851713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185F17" w:rsidRPr="00185F17" w:rsidRDefault="00185F17" w:rsidP="00851713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4A61E3" w:rsidRDefault="004A61E3" w:rsidP="00851713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4A61E3" w:rsidRPr="004A61E3" w:rsidRDefault="004A61E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788" w:type="dxa"/>
            <w:vAlign w:val="center"/>
            <w:hideMark/>
          </w:tcPr>
          <w:p w:rsid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Така альтернатива не є прийнятною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так, як відповідно до підпункту 12.3.5 пункту 12.3 статті 12 Податкового кодексу України місцеві податки і збори сплачуються платниками у порядку, встановленому Податковим кодексом за мінімальними ставками, що суттєво погіршить надходження до місцевого бюджету.</w:t>
            </w:r>
          </w:p>
          <w:p w:rsidR="004A61E3" w:rsidRDefault="004A61E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4A61E3" w:rsidRPr="004A61E3" w:rsidRDefault="004A61E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51713" w:rsidRPr="00851713" w:rsidTr="00D04759">
        <w:trPr>
          <w:trHeight w:val="1785"/>
          <w:tblCellSpacing w:w="15" w:type="dxa"/>
        </w:trPr>
        <w:tc>
          <w:tcPr>
            <w:tcW w:w="4632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Альтернатива 2.</w:t>
            </w:r>
          </w:p>
          <w:p w:rsidR="00851713" w:rsidRPr="00E65EBF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Прийняти 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ішення</w:t>
            </w:r>
            <w:r w:rsidR="009F41DB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65EBF"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«Про </w:t>
            </w:r>
            <w:r w:rsidR="00E65E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встановлення </w:t>
            </w:r>
            <w:r w:rsidR="00E65EBF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ставок та пільг із сплати земельного податку</w:t>
            </w:r>
            <w:r w:rsidR="00E65E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12F4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на 20</w:t>
            </w:r>
            <w:r w:rsidR="00D12F4E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21</w:t>
            </w:r>
            <w:r w:rsidR="00E65EBF"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рік»</w:t>
            </w: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 у запропонованому вигляді</w:t>
            </w:r>
          </w:p>
          <w:p w:rsidR="00E65EBF" w:rsidRDefault="00E65EBF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E65EBF" w:rsidRDefault="00E65EBF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E65EBF" w:rsidRPr="00E65EBF" w:rsidRDefault="00E65EBF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788" w:type="dxa"/>
            <w:vAlign w:val="center"/>
            <w:hideMark/>
          </w:tcPr>
          <w:p w:rsidR="00851713" w:rsidRPr="00E65EBF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65EB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Прийняття даного рішення забезпечує досягнення цілей державного регулювання , чітких та прозорих механізмів справляння та сплати місцевих податків і зборів на території населених пунктів сільської ради та наповнення місцевого бюджету.</w:t>
            </w:r>
          </w:p>
          <w:p w:rsid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Забезпечить фінансову основу самостійності органу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ісцевого самоврядування.</w:t>
            </w:r>
          </w:p>
          <w:p w:rsidR="00E65EBF" w:rsidRPr="00E65EBF" w:rsidRDefault="00E65EBF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51713" w:rsidRPr="00185F17" w:rsidTr="00D04759">
        <w:trPr>
          <w:trHeight w:val="225"/>
          <w:tblCellSpacing w:w="15" w:type="dxa"/>
        </w:trPr>
        <w:tc>
          <w:tcPr>
            <w:tcW w:w="4632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Альтернатива 3</w:t>
            </w: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851713" w:rsidRDefault="00851713" w:rsidP="00851713">
            <w:pPr>
              <w:spacing w:before="100" w:beforeAutospacing="1" w:after="100" w:afterAutospacing="1" w:line="225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Встановлення максимальних с</w:t>
            </w:r>
            <w:r w:rsidR="00521A5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тавок </w:t>
            </w:r>
            <w:r w:rsidR="00521A55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із сплати земельного податку </w:t>
            </w:r>
            <w:r w:rsidR="00D12F4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20</w:t>
            </w:r>
            <w:r w:rsidR="00D12F4E"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ік</w:t>
            </w:r>
          </w:p>
          <w:p w:rsidR="006F7CFB" w:rsidRPr="006F7CFB" w:rsidRDefault="006F7CFB" w:rsidP="00851713">
            <w:pPr>
              <w:spacing w:before="100" w:beforeAutospacing="1" w:after="100" w:afterAutospacing="1" w:line="225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4A61E3" w:rsidRDefault="004A61E3" w:rsidP="00851713">
            <w:pPr>
              <w:spacing w:before="100" w:beforeAutospacing="1" w:after="100" w:afterAutospacing="1" w:line="225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4A61E3" w:rsidRDefault="004A61E3" w:rsidP="00851713">
            <w:pPr>
              <w:spacing w:before="100" w:beforeAutospacing="1" w:after="100" w:afterAutospacing="1" w:line="225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4A61E3" w:rsidRPr="004A61E3" w:rsidRDefault="004A61E3" w:rsidP="00851713">
            <w:pPr>
              <w:spacing w:before="100" w:beforeAutospacing="1" w:after="100" w:afterAutospacing="1" w:line="225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788" w:type="dxa"/>
            <w:vAlign w:val="center"/>
            <w:hideMark/>
          </w:tcPr>
          <w:p w:rsidR="00851713" w:rsidRPr="004A61E3" w:rsidRDefault="00851713" w:rsidP="00851713">
            <w:pPr>
              <w:spacing w:before="100" w:beforeAutospacing="1" w:after="100" w:afterAutospacing="1" w:line="225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A61E3"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За рахунок прийняття максимальних ставок буде значне перевиконання дохідної частини місцевого бюджету, але така альтернатива є непосильною для пл</w:t>
            </w:r>
            <w:r w:rsidR="006F7CFB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атників податків і зборів Роздольської </w:t>
            </w:r>
            <w:r w:rsidRPr="004A61E3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сільської ради, у зв’язку з надмірним податковим навантаженням буде виникати заборгованість зі сплати податків та зборів, а це призведе до нарахування пені, штрафних санкцій за несвоєчасну сплату, соціальної напруги серед населення.</w:t>
            </w:r>
          </w:p>
        </w:tc>
      </w:tr>
    </w:tbl>
    <w:p w:rsidR="00851713" w:rsidRPr="00A1471E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2. Оцінка вибраних альтернативних способів досягнення цілей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  <w:r w:rsidRPr="00851713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Оцінка впливу на сферу інтересів органів </w:t>
      </w:r>
      <w:proofErr w:type="gramStart"/>
      <w:r w:rsidRPr="00851713">
        <w:rPr>
          <w:rFonts w:eastAsia="Times New Roman" w:cs="Times New Roman"/>
          <w:i/>
          <w:iCs/>
          <w:sz w:val="24"/>
          <w:szCs w:val="24"/>
          <w:lang w:eastAsia="ru-RU"/>
        </w:rPr>
        <w:t>м</w:t>
      </w:r>
      <w:proofErr w:type="gramEnd"/>
      <w:r w:rsidRPr="00851713">
        <w:rPr>
          <w:rFonts w:eastAsia="Times New Roman" w:cs="Times New Roman"/>
          <w:i/>
          <w:iCs/>
          <w:sz w:val="24"/>
          <w:szCs w:val="24"/>
          <w:lang w:eastAsia="ru-RU"/>
        </w:rPr>
        <w:t>ісцевого самоврядування</w:t>
      </w:r>
    </w:p>
    <w:tbl>
      <w:tblPr>
        <w:tblW w:w="999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3"/>
        <w:gridCol w:w="3965"/>
        <w:gridCol w:w="3352"/>
      </w:tblGrid>
      <w:tr w:rsidR="00851713" w:rsidRPr="00851713" w:rsidTr="00DB1D7E">
        <w:trPr>
          <w:trHeight w:val="435"/>
          <w:tblCellSpacing w:w="15" w:type="dxa"/>
        </w:trPr>
        <w:tc>
          <w:tcPr>
            <w:tcW w:w="265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Вид альтернативи</w:t>
            </w:r>
          </w:p>
        </w:tc>
        <w:tc>
          <w:tcPr>
            <w:tcW w:w="399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Вигоди</w:t>
            </w:r>
          </w:p>
        </w:tc>
        <w:tc>
          <w:tcPr>
            <w:tcW w:w="334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 Витрати</w:t>
            </w:r>
          </w:p>
        </w:tc>
      </w:tr>
      <w:tr w:rsidR="00851713" w:rsidRPr="00851713" w:rsidTr="00DB1D7E">
        <w:trPr>
          <w:trHeight w:val="435"/>
          <w:tblCellSpacing w:w="15" w:type="dxa"/>
        </w:trPr>
        <w:tc>
          <w:tcPr>
            <w:tcW w:w="2655" w:type="dxa"/>
            <w:vAlign w:val="center"/>
            <w:hideMark/>
          </w:tcPr>
          <w:p w:rsidR="006F7CFB" w:rsidRPr="006F7CFB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Альтернатива 1</w:t>
            </w:r>
          </w:p>
        </w:tc>
        <w:tc>
          <w:tcPr>
            <w:tcW w:w="399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  <w:tc>
          <w:tcPr>
            <w:tcW w:w="3345" w:type="dxa"/>
            <w:vAlign w:val="center"/>
            <w:hideMark/>
          </w:tcPr>
          <w:p w:rsidR="006F7CFB" w:rsidRPr="006F7CFB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851713" w:rsidRPr="00851713" w:rsidTr="00DB1D7E">
        <w:trPr>
          <w:trHeight w:val="4485"/>
          <w:tblCellSpacing w:w="15" w:type="dxa"/>
        </w:trPr>
        <w:tc>
          <w:tcPr>
            <w:tcW w:w="2655" w:type="dxa"/>
            <w:vAlign w:val="center"/>
            <w:hideMark/>
          </w:tcPr>
          <w:p w:rsidR="006F7CFB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Альтернатива 2</w:t>
            </w:r>
          </w:p>
          <w:p w:rsidR="006F7CFB" w:rsidRDefault="006F7CFB" w:rsidP="006F7CF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F7CFB" w:rsidRDefault="006F7CFB" w:rsidP="006F7CF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F7CFB" w:rsidRDefault="006F7CFB" w:rsidP="006F7CF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F7CFB" w:rsidRDefault="006F7CFB" w:rsidP="006F7CF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F7CFB" w:rsidRDefault="006F7CFB" w:rsidP="006F7CF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F7CFB" w:rsidRDefault="006F7CFB" w:rsidP="006F7CF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F7CFB" w:rsidRPr="006F7CFB" w:rsidRDefault="006F7CFB" w:rsidP="006F7CF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F7CFB" w:rsidRPr="006F7CFB" w:rsidRDefault="006F7CFB" w:rsidP="006F7C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F7CFB" w:rsidRPr="006F7CFB" w:rsidRDefault="006F7CFB" w:rsidP="006F7C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51713" w:rsidRPr="006F7CFB" w:rsidRDefault="00851713" w:rsidP="006F7CFB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9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Забезпечить дотримання вимог Податкового кодексу України, реалізацію наданих органам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ісцевого самоврядування повноважень.</w:t>
            </w:r>
          </w:p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2. Забезпечить відповідні надходж</w:t>
            </w:r>
            <w:r w:rsidR="002017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ення до сільського бюджету від </w:t>
            </w:r>
            <w:r w:rsidR="00201747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сплати земельного податку</w:t>
            </w:r>
            <w:proofErr w:type="gramStart"/>
            <w:r w:rsidR="00201747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3.Створить сприятливі фінансові можливості сільської влади для задоволення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іальних та інших потреб територіальної громади.</w:t>
            </w:r>
          </w:p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4. Вдосконалить відносини між сільської радою, органом фіскальної служби та суб’єктами господарювання пов’язаних зі справлянням податкі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зборів.</w:t>
            </w:r>
          </w:p>
        </w:tc>
        <w:tc>
          <w:tcPr>
            <w:tcW w:w="334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Витрати пов’язані з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ідготовкою регуляторного акту та проведення відстежень результативності даного регуляторного акта та процедур з його опублікування</w:t>
            </w:r>
          </w:p>
        </w:tc>
      </w:tr>
      <w:tr w:rsidR="00851713" w:rsidRPr="00851713" w:rsidTr="00DB1D7E">
        <w:trPr>
          <w:trHeight w:val="2535"/>
          <w:tblCellSpacing w:w="15" w:type="dxa"/>
        </w:trPr>
        <w:tc>
          <w:tcPr>
            <w:tcW w:w="2655" w:type="dxa"/>
            <w:vAlign w:val="center"/>
            <w:hideMark/>
          </w:tcPr>
          <w:p w:rsid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Альтернатива 3</w:t>
            </w:r>
          </w:p>
          <w:p w:rsidR="00201747" w:rsidRDefault="00201747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201747" w:rsidRDefault="00201747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201747" w:rsidRDefault="00201747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201747" w:rsidRDefault="00201747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201747" w:rsidRPr="00201747" w:rsidRDefault="00201747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90" w:type="dxa"/>
            <w:vAlign w:val="center"/>
            <w:hideMark/>
          </w:tcPr>
          <w:p w:rsid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1.Максимальні надходження коштів до місцевого бюджету. 2.Спрямування надлишків на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іально - економічний розвиток</w:t>
            </w:r>
          </w:p>
          <w:p w:rsidR="00201747" w:rsidRDefault="00201747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201747" w:rsidRDefault="00201747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201747" w:rsidRPr="00201747" w:rsidRDefault="00201747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4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Витрати пов’язані з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ідготовкою регуляторного акту та проведення відстежень результативності даного регуляторного акта та процедур з його опублікування</w:t>
            </w:r>
          </w:p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Існування ризику переходу діяльності суб’єктів господарювання в «тінь»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причини сплати податків</w:t>
            </w:r>
          </w:p>
        </w:tc>
      </w:tr>
    </w:tbl>
    <w:p w:rsidR="00201747" w:rsidRPr="00201747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i/>
          <w:iCs/>
          <w:sz w:val="24"/>
          <w:szCs w:val="24"/>
          <w:lang w:eastAsia="ru-RU"/>
        </w:rPr>
        <w:t>Оцінка впливу на сферу інтересів громадян</w:t>
      </w:r>
    </w:p>
    <w:tbl>
      <w:tblPr>
        <w:tblW w:w="99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3"/>
        <w:gridCol w:w="3934"/>
        <w:gridCol w:w="3323"/>
      </w:tblGrid>
      <w:tr w:rsidR="00851713" w:rsidRPr="00851713" w:rsidTr="00DB1D7E">
        <w:trPr>
          <w:trHeight w:val="375"/>
          <w:tblCellSpacing w:w="15" w:type="dxa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Вид альтернативи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Вигоди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 Витрати</w:t>
            </w:r>
          </w:p>
        </w:tc>
      </w:tr>
      <w:tr w:rsidR="00851713" w:rsidRPr="00851713" w:rsidTr="00DB1D7E">
        <w:trPr>
          <w:trHeight w:val="600"/>
          <w:tblCellSpacing w:w="15" w:type="dxa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Альтернатива 1</w:t>
            </w:r>
          </w:p>
          <w:p w:rsidR="00201747" w:rsidRPr="00201747" w:rsidRDefault="00201747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Сплата податку за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інімальними ставками, передбаченими Податковим кодексом України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1A01F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Витрати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пов’язан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 лише зі сплатою земельного податку.</w:t>
            </w:r>
          </w:p>
        </w:tc>
      </w:tr>
      <w:tr w:rsidR="00851713" w:rsidRPr="00851713" w:rsidTr="00DB1D7E">
        <w:trPr>
          <w:trHeight w:val="2520"/>
          <w:tblCellSpacing w:w="15" w:type="dxa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Альтернатива 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Сплата податків і зборі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обґрунтованими ставками. Встановлення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ільг по сплаті податків для окремих категорій громадян.</w:t>
            </w:r>
          </w:p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Відкритість процедури, прозорість дій місцевого самоврядування.</w:t>
            </w:r>
          </w:p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Вдосконалить відносини між сільською радою, органом фіскальної служби та суб’єктами господарювання пов’язаних зі справлянням податкі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зборів.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Сплата податкі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запропонованими ставками.</w:t>
            </w:r>
          </w:p>
        </w:tc>
      </w:tr>
      <w:tr w:rsidR="00851713" w:rsidRPr="00851713" w:rsidTr="00DB1D7E">
        <w:trPr>
          <w:trHeight w:val="1290"/>
          <w:tblCellSpacing w:w="15" w:type="dxa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Альтернатива 3</w:t>
            </w:r>
          </w:p>
          <w:p w:rsidR="00B61E68" w:rsidRDefault="00B61E68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B61E68" w:rsidRDefault="00B61E68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B61E68" w:rsidRPr="00B61E68" w:rsidRDefault="00B61E68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рахунок зростання надходжень до місцевого бюджету буде вирішено більша кількість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іальних проблем громади.</w:t>
            </w:r>
          </w:p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Надмірне податкове навантаження призведе до несвоєчасних сплат місцевих податків та зборів, а це в свою чергу до нарахування пені та штрафних санкцій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</w:tbl>
    <w:p w:rsidR="001F168E" w:rsidRDefault="001F168E" w:rsidP="001F168E">
      <w:pPr>
        <w:pStyle w:val="a3"/>
        <w:rPr>
          <w:lang w:val="uk-UA"/>
        </w:rPr>
      </w:pPr>
    </w:p>
    <w:p w:rsidR="001F168E" w:rsidRPr="001F168E" w:rsidRDefault="001F168E" w:rsidP="001F168E">
      <w:pPr>
        <w:pStyle w:val="a3"/>
      </w:pPr>
      <w:r>
        <w:rPr>
          <w:lang w:val="uk-UA"/>
        </w:rPr>
        <w:t>О</w:t>
      </w:r>
      <w:r w:rsidRPr="001F168E">
        <w:rPr>
          <w:i/>
          <w:iCs/>
        </w:rPr>
        <w:t>цінка впливу на сферу інтересів суб’єктів господарювання </w:t>
      </w:r>
    </w:p>
    <w:p w:rsidR="001F168E" w:rsidRPr="001F168E" w:rsidRDefault="001F168E" w:rsidP="001F168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F168E">
        <w:rPr>
          <w:rFonts w:eastAsia="Times New Roman" w:cs="Times New Roman"/>
          <w:sz w:val="24"/>
          <w:szCs w:val="24"/>
          <w:lang w:eastAsia="ru-RU"/>
        </w:rPr>
        <w:t>                    </w:t>
      </w:r>
    </w:p>
    <w:tbl>
      <w:tblPr>
        <w:tblW w:w="99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0"/>
        <w:gridCol w:w="1285"/>
        <w:gridCol w:w="1318"/>
        <w:gridCol w:w="1628"/>
        <w:gridCol w:w="1624"/>
        <w:gridCol w:w="1640"/>
      </w:tblGrid>
      <w:tr w:rsidR="001F168E" w:rsidRPr="001F168E" w:rsidTr="00DB1D7E">
        <w:trPr>
          <w:trHeight w:val="555"/>
          <w:tblCellSpacing w:w="15" w:type="dxa"/>
        </w:trPr>
        <w:tc>
          <w:tcPr>
            <w:tcW w:w="2400" w:type="dxa"/>
            <w:vMerge w:val="restart"/>
            <w:vAlign w:val="center"/>
            <w:hideMark/>
          </w:tcPr>
          <w:p w:rsidR="001F168E" w:rsidRPr="001F168E" w:rsidRDefault="001F168E" w:rsidP="001F168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168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Показник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1F168E" w:rsidRPr="001F168E" w:rsidRDefault="001F168E" w:rsidP="001F168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168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Великі</w:t>
            </w:r>
          </w:p>
        </w:tc>
        <w:tc>
          <w:tcPr>
            <w:tcW w:w="1305" w:type="dxa"/>
            <w:vMerge w:val="restart"/>
            <w:vAlign w:val="center"/>
            <w:hideMark/>
          </w:tcPr>
          <w:p w:rsidR="001F168E" w:rsidRPr="001F168E" w:rsidRDefault="001F168E" w:rsidP="001F168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168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Середні</w:t>
            </w:r>
          </w:p>
        </w:tc>
        <w:tc>
          <w:tcPr>
            <w:tcW w:w="3285" w:type="dxa"/>
            <w:gridSpan w:val="2"/>
            <w:vAlign w:val="center"/>
            <w:hideMark/>
          </w:tcPr>
          <w:p w:rsidR="001F168E" w:rsidRPr="001F168E" w:rsidRDefault="001F168E" w:rsidP="001F168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168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Малі</w:t>
            </w:r>
          </w:p>
        </w:tc>
        <w:tc>
          <w:tcPr>
            <w:tcW w:w="1635" w:type="dxa"/>
            <w:vMerge w:val="restart"/>
            <w:vAlign w:val="center"/>
            <w:hideMark/>
          </w:tcPr>
          <w:p w:rsidR="001F168E" w:rsidRPr="001F168E" w:rsidRDefault="001F168E" w:rsidP="001F168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168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</w:tr>
      <w:tr w:rsidR="001F168E" w:rsidRPr="001F168E" w:rsidTr="00DB1D7E">
        <w:trPr>
          <w:trHeight w:val="15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F168E" w:rsidRPr="001F168E" w:rsidRDefault="001F168E" w:rsidP="001F168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168E" w:rsidRPr="001F168E" w:rsidRDefault="001F168E" w:rsidP="001F168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168E" w:rsidRPr="001F168E" w:rsidRDefault="001F168E" w:rsidP="001F168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1F168E" w:rsidRPr="001F168E" w:rsidRDefault="001F168E" w:rsidP="001F168E">
            <w:pPr>
              <w:spacing w:before="100" w:beforeAutospacing="1" w:after="100" w:afterAutospacing="1" w:line="15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168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635" w:type="dxa"/>
            <w:vAlign w:val="center"/>
            <w:hideMark/>
          </w:tcPr>
          <w:p w:rsidR="001F168E" w:rsidRPr="001F168E" w:rsidRDefault="001F168E" w:rsidP="001F168E">
            <w:pPr>
              <w:spacing w:before="100" w:beforeAutospacing="1" w:after="100" w:afterAutospacing="1" w:line="15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168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1F168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тому числі мікро</w:t>
            </w:r>
          </w:p>
        </w:tc>
        <w:tc>
          <w:tcPr>
            <w:tcW w:w="0" w:type="auto"/>
            <w:vMerge/>
            <w:vAlign w:val="center"/>
            <w:hideMark/>
          </w:tcPr>
          <w:p w:rsidR="001F168E" w:rsidRPr="001F168E" w:rsidRDefault="001F168E" w:rsidP="001F168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168E" w:rsidRPr="001F168E" w:rsidTr="00DB1D7E">
        <w:trPr>
          <w:trHeight w:val="1290"/>
          <w:tblCellSpacing w:w="15" w:type="dxa"/>
        </w:trPr>
        <w:tc>
          <w:tcPr>
            <w:tcW w:w="2400" w:type="dxa"/>
            <w:vAlign w:val="center"/>
            <w:hideMark/>
          </w:tcPr>
          <w:p w:rsidR="001F168E" w:rsidRPr="001F168E" w:rsidRDefault="001F168E" w:rsidP="001F168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16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Кількість суб’єктів господарювання, що підпадають під </w:t>
            </w:r>
            <w:proofErr w:type="gramStart"/>
            <w:r w:rsidRPr="001F168E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1F168E">
              <w:rPr>
                <w:rFonts w:eastAsia="Times New Roman" w:cs="Times New Roman"/>
                <w:sz w:val="24"/>
                <w:szCs w:val="24"/>
                <w:lang w:eastAsia="ru-RU"/>
              </w:rPr>
              <w:t>ію регулювання, одиниць*</w:t>
            </w:r>
          </w:p>
        </w:tc>
        <w:tc>
          <w:tcPr>
            <w:tcW w:w="1275" w:type="dxa"/>
            <w:vAlign w:val="center"/>
            <w:hideMark/>
          </w:tcPr>
          <w:p w:rsidR="001F168E" w:rsidRPr="001F168E" w:rsidRDefault="001F168E" w:rsidP="001F168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168E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5" w:type="dxa"/>
            <w:vAlign w:val="center"/>
            <w:hideMark/>
          </w:tcPr>
          <w:p w:rsidR="001F168E" w:rsidRPr="001F168E" w:rsidRDefault="001F168E" w:rsidP="001F168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168E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5" w:type="dxa"/>
            <w:vAlign w:val="center"/>
            <w:hideMark/>
          </w:tcPr>
          <w:p w:rsidR="001F168E" w:rsidRPr="001F168E" w:rsidRDefault="00AF161C" w:rsidP="001F168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1635" w:type="dxa"/>
            <w:vAlign w:val="center"/>
            <w:hideMark/>
          </w:tcPr>
          <w:p w:rsidR="001F168E" w:rsidRPr="001F168E" w:rsidRDefault="001F168E" w:rsidP="001F168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635" w:type="dxa"/>
            <w:vAlign w:val="center"/>
            <w:hideMark/>
          </w:tcPr>
          <w:p w:rsidR="001F168E" w:rsidRPr="001F168E" w:rsidRDefault="001F168E" w:rsidP="001F168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F168E" w:rsidRPr="001F168E" w:rsidTr="00DB1D7E">
        <w:trPr>
          <w:trHeight w:val="1005"/>
          <w:tblCellSpacing w:w="15" w:type="dxa"/>
        </w:trPr>
        <w:tc>
          <w:tcPr>
            <w:tcW w:w="2400" w:type="dxa"/>
            <w:vAlign w:val="center"/>
            <w:hideMark/>
          </w:tcPr>
          <w:p w:rsidR="001F168E" w:rsidRPr="001F168E" w:rsidRDefault="001F168E" w:rsidP="001F168E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168E">
              <w:rPr>
                <w:rFonts w:eastAsia="Times New Roman" w:cs="Times New Roman"/>
                <w:sz w:val="24"/>
                <w:szCs w:val="24"/>
                <w:lang w:eastAsia="ru-RU"/>
              </w:rPr>
              <w:t>Питома вага групи у загальній кількості, відсоткі</w:t>
            </w:r>
            <w:proofErr w:type="gramStart"/>
            <w:r w:rsidRPr="001F168E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275" w:type="dxa"/>
            <w:vAlign w:val="center"/>
            <w:hideMark/>
          </w:tcPr>
          <w:p w:rsidR="001F168E" w:rsidRPr="001F168E" w:rsidRDefault="001F168E" w:rsidP="001F168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168E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5" w:type="dxa"/>
            <w:vAlign w:val="center"/>
            <w:hideMark/>
          </w:tcPr>
          <w:p w:rsidR="001F168E" w:rsidRPr="001F168E" w:rsidRDefault="001F168E" w:rsidP="001F168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168E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5" w:type="dxa"/>
            <w:vAlign w:val="center"/>
            <w:hideMark/>
          </w:tcPr>
          <w:p w:rsidR="001F168E" w:rsidRPr="001F168E" w:rsidRDefault="00AF161C" w:rsidP="001F168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635" w:type="dxa"/>
            <w:vAlign w:val="center"/>
            <w:hideMark/>
          </w:tcPr>
          <w:p w:rsidR="001F168E" w:rsidRPr="001F168E" w:rsidRDefault="001F168E" w:rsidP="001F168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635" w:type="dxa"/>
            <w:vAlign w:val="center"/>
            <w:hideMark/>
          </w:tcPr>
          <w:p w:rsidR="001F168E" w:rsidRPr="001F168E" w:rsidRDefault="001F168E" w:rsidP="001F168E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</w:tbl>
    <w:p w:rsidR="00851713" w:rsidRPr="00A1471E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    </w:t>
      </w: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ІV.  Вибі</w:t>
      </w:r>
      <w:proofErr w:type="gramStart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найбільш оптимального альтернативного способу досягнення цілей</w:t>
      </w:r>
    </w:p>
    <w:tbl>
      <w:tblPr>
        <w:tblW w:w="96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2"/>
        <w:gridCol w:w="3207"/>
        <w:gridCol w:w="3246"/>
      </w:tblGrid>
      <w:tr w:rsidR="00851713" w:rsidRPr="00851713" w:rsidTr="00DB1D7E">
        <w:trPr>
          <w:trHeight w:val="855"/>
          <w:tblCellSpacing w:w="15" w:type="dxa"/>
        </w:trPr>
        <w:tc>
          <w:tcPr>
            <w:tcW w:w="3177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Рейтинг результативності (досягнення цілей </w:t>
            </w:r>
            <w:proofErr w:type="gramStart"/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ід час вирішення проблеми)</w:t>
            </w:r>
          </w:p>
        </w:tc>
        <w:tc>
          <w:tcPr>
            <w:tcW w:w="3177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Бал результативності </w:t>
            </w:r>
            <w:proofErr w:type="gramStart"/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 чотирибальною системою оцінки)</w:t>
            </w:r>
          </w:p>
        </w:tc>
        <w:tc>
          <w:tcPr>
            <w:tcW w:w="3201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Коментарі щодо присвоєння відповідного бала</w:t>
            </w:r>
          </w:p>
        </w:tc>
      </w:tr>
      <w:tr w:rsidR="00851713" w:rsidRPr="00851713" w:rsidTr="00DB1D7E">
        <w:trPr>
          <w:trHeight w:val="3375"/>
          <w:tblCellSpacing w:w="15" w:type="dxa"/>
        </w:trPr>
        <w:tc>
          <w:tcPr>
            <w:tcW w:w="3177" w:type="dxa"/>
            <w:vAlign w:val="center"/>
            <w:hideMark/>
          </w:tcPr>
          <w:p w:rsid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Альтернатива 1</w:t>
            </w: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P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77" w:type="dxa"/>
            <w:vAlign w:val="center"/>
            <w:hideMark/>
          </w:tcPr>
          <w:p w:rsidR="001A01F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1 - цілі прийняття регуляторного акта не можуть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бути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досягнуті (проблема продовжує існувати)</w:t>
            </w: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P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01" w:type="dxa"/>
            <w:vAlign w:val="center"/>
            <w:hideMark/>
          </w:tcPr>
          <w:p w:rsidR="00851713" w:rsidRPr="00E72FC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Така альтернатива є не прийнятною. Місцеві податки та збори будуть сплачуватися платниками відповідно до Податкового кодексу України за мінімальними ставками, громадяни втратять додаткові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ільги. Зменшаться надходження до сільського бюджету, а це не дозволить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проф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інансувати заходи соціального, економічного значення об’єднаної територіальної громади (благоустрій, утримання комунальних</w:t>
            </w:r>
            <w:r w:rsidR="001A01F3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закладів та інше)</w:t>
            </w:r>
          </w:p>
        </w:tc>
      </w:tr>
      <w:tr w:rsidR="00851713" w:rsidRPr="00851713" w:rsidTr="00DB1D7E">
        <w:trPr>
          <w:trHeight w:val="3135"/>
          <w:tblCellSpacing w:w="15" w:type="dxa"/>
        </w:trPr>
        <w:tc>
          <w:tcPr>
            <w:tcW w:w="3177" w:type="dxa"/>
            <w:vAlign w:val="center"/>
            <w:hideMark/>
          </w:tcPr>
          <w:p w:rsid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Альтернатива 2</w:t>
            </w: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P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77" w:type="dxa"/>
            <w:vAlign w:val="center"/>
            <w:hideMark/>
          </w:tcPr>
          <w:p w:rsidR="00851713" w:rsidRDefault="001A01F3" w:rsidP="001A01F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2 - цілі прийняття регуляторного акта можуть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бути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досягнуті частково (проблема значно зменшиться, деякі важливі та критичні аспекти проблеми залишаться невирішеними </w:t>
            </w:r>
          </w:p>
          <w:p w:rsidR="001A01F3" w:rsidRDefault="001A01F3" w:rsidP="001A01F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Default="001A01F3" w:rsidP="001A01F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Default="001A01F3" w:rsidP="001A01F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Default="001A01F3" w:rsidP="001A01F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Pr="001A01F3" w:rsidRDefault="001A01F3" w:rsidP="001A01F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01" w:type="dxa"/>
            <w:vAlign w:val="center"/>
            <w:hideMark/>
          </w:tcPr>
          <w:p w:rsidR="00851713" w:rsidRPr="00560F0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60F03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Прийняття даного рішення вирішить важливі аспекти проблеми, забезпечить досягнення встановлених цілей, чітких та прозорих механізмів справляння місцевих податків і зборів, наповнення сільського бюджету, виконання програми соціально-економічного розвитку громади.</w:t>
            </w:r>
          </w:p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Таким чином, прийняттям вказаного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ішення буде досягнуто балансу інтересів громади і платників податків і зборів</w:t>
            </w:r>
          </w:p>
        </w:tc>
      </w:tr>
      <w:tr w:rsidR="00851713" w:rsidRPr="00851713" w:rsidTr="00DB1D7E">
        <w:trPr>
          <w:trHeight w:val="3615"/>
          <w:tblCellSpacing w:w="15" w:type="dxa"/>
        </w:trPr>
        <w:tc>
          <w:tcPr>
            <w:tcW w:w="3177" w:type="dxa"/>
            <w:vAlign w:val="center"/>
            <w:hideMark/>
          </w:tcPr>
          <w:p w:rsid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Альтернатива 3</w:t>
            </w: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P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77" w:type="dxa"/>
            <w:vAlign w:val="center"/>
            <w:hideMark/>
          </w:tcPr>
          <w:p w:rsidR="001A01F3" w:rsidRP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85171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3 - цілі прийняття проекту регуляторного акта можуть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бути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досягнуті майже повною мірою (усі важливі аспекти проблеми існувати не будуть)</w:t>
            </w: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1A01F3" w:rsidRPr="001A01F3" w:rsidRDefault="001A01F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01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Цілі регулювання можуть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бути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досягнуті частково.</w:t>
            </w:r>
          </w:p>
          <w:p w:rsidR="00851713" w:rsidRPr="009F41DB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Надмірне податкове навантаження на суб'єктів господарювання знівелює вигоди від значного збільшення дохідної частини місцевого бюджету, а саме існує ризик переходу суб’єктів господарювання в «тінь</w:t>
            </w:r>
            <w:r w:rsidR="00DB1D7E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, і як наслідок виникне зворотній ефект в результаті якого відбудеться зм</w:t>
            </w:r>
            <w:r w:rsidR="00624D61">
              <w:rPr>
                <w:rFonts w:eastAsia="Times New Roman" w:cs="Times New Roman"/>
                <w:sz w:val="24"/>
                <w:szCs w:val="24"/>
                <w:lang w:eastAsia="ru-RU"/>
              </w:rPr>
              <w:t>еншення надходжень до бюджету.</w:t>
            </w:r>
            <w:proofErr w:type="gramEnd"/>
          </w:p>
        </w:tc>
      </w:tr>
    </w:tbl>
    <w:tbl>
      <w:tblPr>
        <w:tblpPr w:leftFromText="180" w:rightFromText="180" w:vertAnchor="text" w:horzAnchor="margin" w:tblpY="-1657"/>
        <w:tblW w:w="96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2"/>
        <w:gridCol w:w="2406"/>
        <w:gridCol w:w="2399"/>
        <w:gridCol w:w="2438"/>
      </w:tblGrid>
      <w:tr w:rsidR="007036F5" w:rsidRPr="00851713" w:rsidTr="009F41DB">
        <w:trPr>
          <w:trHeight w:val="870"/>
          <w:tblCellSpacing w:w="15" w:type="dxa"/>
        </w:trPr>
        <w:tc>
          <w:tcPr>
            <w:tcW w:w="2387" w:type="dxa"/>
            <w:vAlign w:val="center"/>
            <w:hideMark/>
          </w:tcPr>
          <w:p w:rsidR="007036F5" w:rsidRPr="00851713" w:rsidRDefault="007036F5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Рейтинг результативності</w:t>
            </w:r>
          </w:p>
        </w:tc>
        <w:tc>
          <w:tcPr>
            <w:tcW w:w="2376" w:type="dxa"/>
            <w:vAlign w:val="center"/>
            <w:hideMark/>
          </w:tcPr>
          <w:p w:rsidR="007036F5" w:rsidRPr="00851713" w:rsidRDefault="007036F5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Вигоди</w:t>
            </w:r>
          </w:p>
          <w:p w:rsidR="007036F5" w:rsidRPr="00851713" w:rsidRDefault="007036F5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ідсумок)</w:t>
            </w:r>
          </w:p>
        </w:tc>
        <w:tc>
          <w:tcPr>
            <w:tcW w:w="2369" w:type="dxa"/>
            <w:vAlign w:val="center"/>
            <w:hideMark/>
          </w:tcPr>
          <w:p w:rsidR="007036F5" w:rsidRPr="00851713" w:rsidRDefault="007036F5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Витрати</w:t>
            </w:r>
          </w:p>
          <w:p w:rsidR="007036F5" w:rsidRPr="00851713" w:rsidRDefault="007036F5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ідсумок)</w:t>
            </w:r>
          </w:p>
        </w:tc>
        <w:tc>
          <w:tcPr>
            <w:tcW w:w="2393" w:type="dxa"/>
            <w:vAlign w:val="center"/>
            <w:hideMark/>
          </w:tcPr>
          <w:p w:rsidR="007036F5" w:rsidRPr="00851713" w:rsidRDefault="007036F5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Обґрунтування відповідного місця альтернативи </w:t>
            </w:r>
            <w:proofErr w:type="gramStart"/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рейтингу</w:t>
            </w:r>
          </w:p>
        </w:tc>
      </w:tr>
      <w:tr w:rsidR="007036F5" w:rsidRPr="00851713" w:rsidTr="009F41DB">
        <w:trPr>
          <w:trHeight w:val="3045"/>
          <w:tblCellSpacing w:w="15" w:type="dxa"/>
        </w:trPr>
        <w:tc>
          <w:tcPr>
            <w:tcW w:w="2387" w:type="dxa"/>
            <w:vAlign w:val="center"/>
            <w:hideMark/>
          </w:tcPr>
          <w:p w:rsidR="007036F5" w:rsidRDefault="007036F5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Альтернатива 2</w:t>
            </w:r>
          </w:p>
          <w:p w:rsidR="00624D61" w:rsidRDefault="00624D61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Pr="00624D61" w:rsidRDefault="00624D61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76" w:type="dxa"/>
            <w:vAlign w:val="center"/>
            <w:hideMark/>
          </w:tcPr>
          <w:p w:rsidR="007036F5" w:rsidRPr="00851713" w:rsidRDefault="007036F5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Надходження додаткових коштів до місцевого бюджету, спрямування коштів на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іально-економічний розвиток територіальної громади.</w:t>
            </w:r>
          </w:p>
          <w:p w:rsidR="007036F5" w:rsidRPr="00851713" w:rsidRDefault="007036F5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Сплата податків і зборі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обгрунтованими ставками.</w:t>
            </w:r>
          </w:p>
          <w:p w:rsidR="007036F5" w:rsidRPr="00851713" w:rsidRDefault="007036F5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Встановлення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ільг для окремих категорій населення.</w:t>
            </w:r>
          </w:p>
        </w:tc>
        <w:tc>
          <w:tcPr>
            <w:tcW w:w="2369" w:type="dxa"/>
            <w:vAlign w:val="center"/>
            <w:hideMark/>
          </w:tcPr>
          <w:p w:rsidR="007036F5" w:rsidRDefault="007036F5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Витрати пов’язані з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ідготовкою регуляторного акта та процедур з його офіційного опублікування. Сплата податків і зборі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встановленими ставками</w:t>
            </w:r>
          </w:p>
          <w:p w:rsidR="00624D61" w:rsidRDefault="00624D61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Pr="00624D61" w:rsidRDefault="00624D61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vAlign w:val="center"/>
            <w:hideMark/>
          </w:tcPr>
          <w:p w:rsidR="007036F5" w:rsidRDefault="007036F5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Регуляторний акт відповідає потребам у розв’язанні визначеної проблеми та принципам державної регуляторної політики. Наповнення сільського бюджету, збереження суб’єктів господарювання та робочих місць</w:t>
            </w:r>
          </w:p>
          <w:p w:rsidR="00624D61" w:rsidRDefault="00624D61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Pr="00624D61" w:rsidRDefault="00624D61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36F5" w:rsidRPr="00851713" w:rsidTr="009F41DB">
        <w:trPr>
          <w:trHeight w:val="1815"/>
          <w:tblCellSpacing w:w="15" w:type="dxa"/>
        </w:trPr>
        <w:tc>
          <w:tcPr>
            <w:tcW w:w="2387" w:type="dxa"/>
            <w:vAlign w:val="center"/>
            <w:hideMark/>
          </w:tcPr>
          <w:p w:rsidR="007036F5" w:rsidRDefault="007036F5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Альтернатива 3</w:t>
            </w:r>
          </w:p>
          <w:p w:rsidR="00624D61" w:rsidRDefault="00624D61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Pr="00624D61" w:rsidRDefault="00624D61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76" w:type="dxa"/>
            <w:vAlign w:val="center"/>
            <w:hideMark/>
          </w:tcPr>
          <w:p w:rsidR="007036F5" w:rsidRPr="00851713" w:rsidRDefault="007036F5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Максимальні надходження кошті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 місцевого бюджету. Спрямування надлишків на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іально-економічний розвиток територіальної громади</w:t>
            </w:r>
          </w:p>
        </w:tc>
        <w:tc>
          <w:tcPr>
            <w:tcW w:w="2369" w:type="dxa"/>
            <w:vAlign w:val="center"/>
            <w:hideMark/>
          </w:tcPr>
          <w:p w:rsidR="007036F5" w:rsidRPr="00851713" w:rsidRDefault="007036F5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Витрати пов’язані з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ідготовкою регуляторного акта та його офіційного оприлюднення. Надмірне податкове навантаження спричинить занепад малого бізнесу.</w:t>
            </w:r>
          </w:p>
        </w:tc>
        <w:tc>
          <w:tcPr>
            <w:tcW w:w="2393" w:type="dxa"/>
            <w:vAlign w:val="center"/>
            <w:hideMark/>
          </w:tcPr>
          <w:p w:rsidR="007036F5" w:rsidRPr="00851713" w:rsidRDefault="007036F5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Надмірне податкове навантаження, призведе до ризику переходу суб’єктів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ідприємницької діяльності в «тінь», як наслідок зменшення робочих місць та розміру заробітної плати.</w:t>
            </w:r>
          </w:p>
        </w:tc>
      </w:tr>
      <w:tr w:rsidR="007036F5" w:rsidRPr="00851713" w:rsidTr="009F41DB">
        <w:trPr>
          <w:trHeight w:val="1485"/>
          <w:tblCellSpacing w:w="15" w:type="dxa"/>
        </w:trPr>
        <w:tc>
          <w:tcPr>
            <w:tcW w:w="2387" w:type="dxa"/>
            <w:vAlign w:val="center"/>
            <w:hideMark/>
          </w:tcPr>
          <w:p w:rsidR="007036F5" w:rsidRDefault="007036F5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Альтернатива 1</w:t>
            </w:r>
          </w:p>
          <w:p w:rsidR="00624D61" w:rsidRDefault="00624D61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Pr="00624D61" w:rsidRDefault="00624D61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76" w:type="dxa"/>
            <w:vAlign w:val="center"/>
            <w:hideMark/>
          </w:tcPr>
          <w:p w:rsidR="007036F5" w:rsidRPr="00851713" w:rsidRDefault="007036F5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Сплата податкі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мінімальними ставками, передбаченими Податковим кодексом України</w:t>
            </w:r>
          </w:p>
          <w:p w:rsidR="007036F5" w:rsidRPr="00851713" w:rsidRDefault="007036F5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9" w:type="dxa"/>
            <w:vAlign w:val="center"/>
            <w:hideMark/>
          </w:tcPr>
          <w:p w:rsidR="007036F5" w:rsidRDefault="007036F5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Витрати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пов’язан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 лише зі сплатою земельного податку</w:t>
            </w:r>
          </w:p>
          <w:p w:rsidR="00521A55" w:rsidRPr="00521A55" w:rsidRDefault="00521A55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7036F5" w:rsidRPr="00851713" w:rsidRDefault="007036F5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vAlign w:val="center"/>
            <w:hideMark/>
          </w:tcPr>
          <w:p w:rsidR="007036F5" w:rsidRPr="00851713" w:rsidRDefault="007036F5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Зменшення надходжень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сільського бюджету.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ідвищення соціальної напруги</w:t>
            </w:r>
          </w:p>
          <w:p w:rsidR="007036F5" w:rsidRPr="00851713" w:rsidRDefault="007036F5" w:rsidP="009F41DB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51713" w:rsidRPr="009F41DB" w:rsidRDefault="00851713" w:rsidP="00624D6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</w:p>
    <w:p w:rsidR="00851713" w:rsidRPr="00851713" w:rsidRDefault="00851713" w:rsidP="00851713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Переваги обраної альтернативи</w:t>
      </w:r>
    </w:p>
    <w:tbl>
      <w:tblPr>
        <w:tblW w:w="95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3"/>
        <w:gridCol w:w="3930"/>
        <w:gridCol w:w="3197"/>
      </w:tblGrid>
      <w:tr w:rsidR="00851713" w:rsidRPr="00851713" w:rsidTr="00DB1D7E">
        <w:trPr>
          <w:trHeight w:val="1005"/>
          <w:tblCellSpacing w:w="15" w:type="dxa"/>
        </w:trPr>
        <w:tc>
          <w:tcPr>
            <w:tcW w:w="2398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390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152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Оцінка ризику зовнішніх чинникі</w:t>
            </w:r>
            <w:proofErr w:type="gramStart"/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на дію запропонованого регуляторного акта</w:t>
            </w:r>
          </w:p>
        </w:tc>
      </w:tr>
      <w:tr w:rsidR="00851713" w:rsidRPr="00851713" w:rsidTr="00DB1D7E">
        <w:trPr>
          <w:trHeight w:val="2940"/>
          <w:tblCellSpacing w:w="15" w:type="dxa"/>
        </w:trPr>
        <w:tc>
          <w:tcPr>
            <w:tcW w:w="2398" w:type="dxa"/>
            <w:vAlign w:val="center"/>
            <w:hideMark/>
          </w:tcPr>
          <w:p w:rsid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Альтернатива 2</w:t>
            </w:r>
          </w:p>
          <w:p w:rsid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P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00" w:type="dxa"/>
            <w:vAlign w:val="center"/>
            <w:hideMark/>
          </w:tcPr>
          <w:p w:rsid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72FC3">
              <w:rPr>
                <w:rFonts w:eastAsia="Times New Roman" w:cs="Times New Roman"/>
                <w:sz w:val="24"/>
                <w:szCs w:val="24"/>
                <w:lang w:val="uk-UA" w:eastAsia="ru-RU"/>
              </w:rPr>
              <w:t>Цілі прийнятт</w:t>
            </w:r>
            <w:r w:rsidR="00E72FC3" w:rsidRPr="00E72FC3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я проекту рішення </w:t>
            </w:r>
            <w:r w:rsidR="00E72FC3"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="00E72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 </w:t>
            </w:r>
            <w:r w:rsidR="00E72FC3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встановлення</w:t>
            </w:r>
            <w:r w:rsidR="00E72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ставок </w:t>
            </w:r>
            <w:r w:rsidR="00E72FC3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та пільг із сплати земельного податку </w:t>
            </w:r>
            <w:r w:rsidR="00E72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2</w:t>
            </w:r>
            <w:r w:rsidR="000268AB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0268A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  <w:r w:rsidR="00E72FC3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рік» </w:t>
            </w:r>
            <w:r w:rsidRPr="00E72FC3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будуть досягнуті майже у повній мірі. </w:t>
            </w: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сільського бюджету надійдуть додаткові кошти від сплати місцевих податків і зборів, а податкове навантаження для платників не буде надмірним. Таким чином, прийняттям вказаного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ішення буде досягнуто балансу інтересів сільської ради і платників податків і зборів.</w:t>
            </w:r>
          </w:p>
          <w:p w:rsid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P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52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Зміни до чинного законодавства:</w:t>
            </w:r>
          </w:p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- Податкового кодексу України;</w:t>
            </w:r>
          </w:p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Бюджетного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кодексу України;</w:t>
            </w:r>
          </w:p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Земельного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кодексу України;</w:t>
            </w:r>
          </w:p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та інші закони (зміна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інімальної заробітної плати, прожиткового мінімуму, тощо).</w:t>
            </w:r>
          </w:p>
        </w:tc>
      </w:tr>
      <w:tr w:rsidR="00851713" w:rsidRPr="00851713" w:rsidTr="00DB1D7E">
        <w:trPr>
          <w:trHeight w:val="3705"/>
          <w:tblCellSpacing w:w="15" w:type="dxa"/>
        </w:trPr>
        <w:tc>
          <w:tcPr>
            <w:tcW w:w="2398" w:type="dxa"/>
            <w:vAlign w:val="center"/>
            <w:hideMark/>
          </w:tcPr>
          <w:p w:rsid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Альтернатива 3</w:t>
            </w:r>
          </w:p>
          <w:p w:rsid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P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00" w:type="dxa"/>
            <w:vAlign w:val="center"/>
            <w:hideMark/>
          </w:tcPr>
          <w:p w:rsid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Цілі регулювання можуть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бути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досягнуті частково. Надмірне податкове навантаження на суб'єктів господарювання знівелює вигоди від значного збільшення дохідної частини місцевого бюджету. Балансу інтересів досягнути неможливо.</w:t>
            </w:r>
          </w:p>
          <w:p w:rsid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624D61" w:rsidRPr="00624D61" w:rsidRDefault="00624D6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52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Зміни до чинного законодавства:</w:t>
            </w:r>
          </w:p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- Податкового кодексу України;</w:t>
            </w:r>
          </w:p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Бюджетного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кодексу України;</w:t>
            </w:r>
          </w:p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Земельного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кодексу України;</w:t>
            </w:r>
          </w:p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та інші закони (зміна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інімальної заробітної плати, прожиткового мінімуму, тощо).</w:t>
            </w:r>
          </w:p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Виникнення податкового боргу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причині не сплати місцевих податків та зборів.</w:t>
            </w:r>
          </w:p>
        </w:tc>
      </w:tr>
    </w:tbl>
    <w:p w:rsidR="00851713" w:rsidRPr="00F32656" w:rsidRDefault="00851713" w:rsidP="00F32656">
      <w:pPr>
        <w:spacing w:before="100" w:beforeAutospacing="1" w:after="100" w:afterAutospacing="1" w:line="240" w:lineRule="atLeast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Таким чином для реалізації обрано Альтернативу 2 – встановлення економічн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о-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 xml:space="preserve"> обґрунтованих місцевих податків та зборів,  що є посильними для платників податків, та забезпечить фінансову основу самостійності органу місцево</w:t>
      </w:r>
      <w:r w:rsidR="00624D61">
        <w:rPr>
          <w:rFonts w:eastAsia="Times New Roman" w:cs="Times New Roman"/>
          <w:sz w:val="24"/>
          <w:szCs w:val="24"/>
          <w:lang w:eastAsia="ru-RU"/>
        </w:rPr>
        <w:t xml:space="preserve">го самоврядування – </w:t>
      </w:r>
      <w:r w:rsidR="00624D61">
        <w:rPr>
          <w:rFonts w:eastAsia="Times New Roman" w:cs="Times New Roman"/>
          <w:sz w:val="24"/>
          <w:szCs w:val="24"/>
          <w:lang w:val="uk-UA" w:eastAsia="ru-RU"/>
        </w:rPr>
        <w:t xml:space="preserve">Роздольської </w:t>
      </w:r>
      <w:r w:rsidRPr="00851713">
        <w:rPr>
          <w:rFonts w:eastAsia="Times New Roman" w:cs="Times New Roman"/>
          <w:sz w:val="24"/>
          <w:szCs w:val="24"/>
          <w:lang w:eastAsia="ru-RU"/>
        </w:rPr>
        <w:t xml:space="preserve"> сільської ради.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V. Механізм, який пропонується застосувати для розв’язання проблеми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           Зазначену проблему планується розв'язати шляхом:</w:t>
      </w:r>
    </w:p>
    <w:p w:rsidR="00851713" w:rsidRPr="003762EE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u w:val="single"/>
          <w:lang w:val="uk-UA"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            - </w:t>
      </w:r>
      <w:r w:rsidRPr="003762EE">
        <w:rPr>
          <w:rFonts w:eastAsia="Times New Roman" w:cs="Times New Roman"/>
          <w:sz w:val="24"/>
          <w:szCs w:val="24"/>
          <w:lang w:eastAsia="ru-RU"/>
        </w:rPr>
        <w:t>Розробки</w:t>
      </w:r>
      <w:r w:rsidR="00624D61" w:rsidRPr="003762EE">
        <w:rPr>
          <w:rFonts w:eastAsia="Times New Roman" w:cs="Times New Roman"/>
          <w:sz w:val="24"/>
          <w:szCs w:val="24"/>
          <w:lang w:eastAsia="ru-RU"/>
        </w:rPr>
        <w:t xml:space="preserve"> проекту </w:t>
      </w:r>
      <w:proofErr w:type="gramStart"/>
      <w:r w:rsidR="00624D61" w:rsidRPr="003762EE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="00624D61" w:rsidRPr="003762EE">
        <w:rPr>
          <w:rFonts w:eastAsia="Times New Roman" w:cs="Times New Roman"/>
          <w:sz w:val="24"/>
          <w:szCs w:val="24"/>
          <w:lang w:eastAsia="ru-RU"/>
        </w:rPr>
        <w:t xml:space="preserve">ішення </w:t>
      </w:r>
      <w:r w:rsidR="00624D61" w:rsidRPr="003762EE">
        <w:rPr>
          <w:rFonts w:eastAsia="Times New Roman" w:cs="Times New Roman"/>
          <w:sz w:val="24"/>
          <w:szCs w:val="24"/>
          <w:lang w:val="uk-UA" w:eastAsia="ru-RU"/>
        </w:rPr>
        <w:t>Роздольської</w:t>
      </w:r>
      <w:r w:rsidRPr="003762EE">
        <w:rPr>
          <w:rFonts w:eastAsia="Times New Roman" w:cs="Times New Roman"/>
          <w:sz w:val="24"/>
          <w:szCs w:val="24"/>
          <w:lang w:eastAsia="ru-RU"/>
        </w:rPr>
        <w:t xml:space="preserve"> сільської </w:t>
      </w:r>
      <w:r w:rsidRPr="00BD602B">
        <w:rPr>
          <w:rFonts w:eastAsia="Times New Roman" w:cs="Times New Roman"/>
          <w:sz w:val="24"/>
          <w:szCs w:val="24"/>
          <w:lang w:eastAsia="ru-RU"/>
        </w:rPr>
        <w:t>ради «Про встанов</w:t>
      </w:r>
      <w:r w:rsidR="00624D61" w:rsidRPr="00BD602B">
        <w:rPr>
          <w:rFonts w:eastAsia="Times New Roman" w:cs="Times New Roman"/>
          <w:sz w:val="24"/>
          <w:szCs w:val="24"/>
          <w:lang w:eastAsia="ru-RU"/>
        </w:rPr>
        <w:t xml:space="preserve">лення </w:t>
      </w:r>
      <w:r w:rsidR="00624D61" w:rsidRPr="00BD602B">
        <w:rPr>
          <w:rFonts w:eastAsia="Times New Roman" w:cs="Times New Roman"/>
          <w:sz w:val="24"/>
          <w:szCs w:val="24"/>
          <w:lang w:val="uk-UA" w:eastAsia="ru-RU"/>
        </w:rPr>
        <w:t xml:space="preserve">ставок </w:t>
      </w:r>
      <w:r w:rsidR="00F32656" w:rsidRPr="00BD602B">
        <w:rPr>
          <w:rFonts w:eastAsia="Times New Roman" w:cs="Times New Roman"/>
          <w:sz w:val="24"/>
          <w:szCs w:val="24"/>
          <w:lang w:val="uk-UA" w:eastAsia="ru-RU"/>
        </w:rPr>
        <w:t xml:space="preserve">        </w:t>
      </w:r>
      <w:r w:rsidR="00624D61" w:rsidRPr="00BD602B">
        <w:rPr>
          <w:rFonts w:eastAsia="Times New Roman" w:cs="Times New Roman"/>
          <w:sz w:val="24"/>
          <w:szCs w:val="24"/>
          <w:lang w:val="uk-UA" w:eastAsia="ru-RU"/>
        </w:rPr>
        <w:t xml:space="preserve">та пільг із сплати земельного податку </w:t>
      </w:r>
      <w:r w:rsidR="00D12F4E">
        <w:rPr>
          <w:rFonts w:eastAsia="Times New Roman" w:cs="Times New Roman"/>
          <w:sz w:val="24"/>
          <w:szCs w:val="24"/>
          <w:lang w:eastAsia="ru-RU"/>
        </w:rPr>
        <w:t xml:space="preserve"> на 20</w:t>
      </w:r>
      <w:r w:rsidR="00D12F4E">
        <w:rPr>
          <w:rFonts w:eastAsia="Times New Roman" w:cs="Times New Roman"/>
          <w:sz w:val="24"/>
          <w:szCs w:val="24"/>
          <w:lang w:val="uk-UA" w:eastAsia="ru-RU"/>
        </w:rPr>
        <w:t>21</w:t>
      </w:r>
      <w:r w:rsidRPr="00BD602B">
        <w:rPr>
          <w:rFonts w:eastAsia="Times New Roman" w:cs="Times New Roman"/>
          <w:sz w:val="24"/>
          <w:szCs w:val="24"/>
          <w:lang w:eastAsia="ru-RU"/>
        </w:rPr>
        <w:t xml:space="preserve"> рік» </w:t>
      </w:r>
      <w:r w:rsidRPr="003762EE">
        <w:rPr>
          <w:rFonts w:eastAsia="Times New Roman" w:cs="Times New Roman"/>
          <w:sz w:val="24"/>
          <w:szCs w:val="24"/>
          <w:lang w:eastAsia="ru-RU"/>
        </w:rPr>
        <w:t>та АРВ до нього;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           - Проведення консультацій з суб’єктами господарювання;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lastRenderedPageBreak/>
        <w:t xml:space="preserve">            - Оприлюднення проекту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ішення з АРВ та отримання пропозицій та зауважень;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            -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ідготовка експертного висновку постійної відповідальної комісії, щодо відповідно</w:t>
      </w:r>
      <w:r w:rsidR="0071338C">
        <w:rPr>
          <w:rFonts w:eastAsia="Times New Roman" w:cs="Times New Roman"/>
          <w:sz w:val="24"/>
          <w:szCs w:val="24"/>
          <w:lang w:eastAsia="ru-RU"/>
        </w:rPr>
        <w:t>сті проекту рішення вимогам ст.</w:t>
      </w:r>
      <w:r w:rsidRPr="00851713">
        <w:rPr>
          <w:rFonts w:eastAsia="Times New Roman" w:cs="Times New Roman"/>
          <w:sz w:val="24"/>
          <w:szCs w:val="24"/>
          <w:lang w:eastAsia="ru-RU"/>
        </w:rPr>
        <w:t>4,8 Закону України «Про засади державної регуляторної політики у сфері господарської діяльності»;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           - Отримання пропозицій по удосконаленню від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 xml:space="preserve"> Д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ержавної регуляторної служби України;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           -</w:t>
      </w:r>
      <w:r w:rsidR="00624D61">
        <w:rPr>
          <w:rFonts w:eastAsia="Times New Roman" w:cs="Times New Roman"/>
          <w:sz w:val="24"/>
          <w:szCs w:val="24"/>
          <w:lang w:eastAsia="ru-RU"/>
        </w:rPr>
        <w:t xml:space="preserve"> Прийняття </w:t>
      </w:r>
      <w:proofErr w:type="gramStart"/>
      <w:r w:rsidR="00624D61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="00624D61">
        <w:rPr>
          <w:rFonts w:eastAsia="Times New Roman" w:cs="Times New Roman"/>
          <w:sz w:val="24"/>
          <w:szCs w:val="24"/>
          <w:lang w:eastAsia="ru-RU"/>
        </w:rPr>
        <w:t xml:space="preserve">ішення «Про </w:t>
      </w:r>
      <w:r w:rsidR="00624D61">
        <w:rPr>
          <w:rFonts w:eastAsia="Times New Roman" w:cs="Times New Roman"/>
          <w:sz w:val="24"/>
          <w:szCs w:val="24"/>
          <w:lang w:val="uk-UA" w:eastAsia="ru-RU"/>
        </w:rPr>
        <w:t xml:space="preserve">встановлення ставок та пільг із сплати земельного податку </w:t>
      </w:r>
      <w:r w:rsidR="00D12F4E">
        <w:rPr>
          <w:rFonts w:eastAsia="Times New Roman" w:cs="Times New Roman"/>
          <w:sz w:val="24"/>
          <w:szCs w:val="24"/>
          <w:lang w:eastAsia="ru-RU"/>
        </w:rPr>
        <w:t xml:space="preserve"> на 20</w:t>
      </w:r>
      <w:r w:rsidR="00D12F4E">
        <w:rPr>
          <w:rFonts w:eastAsia="Times New Roman" w:cs="Times New Roman"/>
          <w:sz w:val="24"/>
          <w:szCs w:val="24"/>
          <w:lang w:val="uk-UA" w:eastAsia="ru-RU"/>
        </w:rPr>
        <w:t>21</w:t>
      </w:r>
      <w:r w:rsidRPr="00851713">
        <w:rPr>
          <w:rFonts w:eastAsia="Times New Roman" w:cs="Times New Roman"/>
          <w:sz w:val="24"/>
          <w:szCs w:val="24"/>
          <w:lang w:eastAsia="ru-RU"/>
        </w:rPr>
        <w:t xml:space="preserve"> рік» на пленарному засіданні сесії сільської ради;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            - Оприлюднення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ішення у встановленому законодавством порядку;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            - Проведення заходів з відстеження результативності прийнятого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ішення.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           Встановлення за</w:t>
      </w:r>
      <w:r w:rsidR="00624D61">
        <w:rPr>
          <w:rFonts w:eastAsia="Times New Roman" w:cs="Times New Roman"/>
          <w:sz w:val="24"/>
          <w:szCs w:val="24"/>
          <w:lang w:eastAsia="ru-RU"/>
        </w:rPr>
        <w:t xml:space="preserve">пропонованих </w:t>
      </w:r>
      <w:r w:rsidR="00624D61">
        <w:rPr>
          <w:rFonts w:eastAsia="Times New Roman" w:cs="Times New Roman"/>
          <w:sz w:val="24"/>
          <w:szCs w:val="24"/>
          <w:lang w:val="uk-UA" w:eastAsia="ru-RU"/>
        </w:rPr>
        <w:t xml:space="preserve">ставок та </w:t>
      </w:r>
      <w:proofErr w:type="gramStart"/>
      <w:r w:rsidR="00624D61">
        <w:rPr>
          <w:rFonts w:eastAsia="Times New Roman" w:cs="Times New Roman"/>
          <w:sz w:val="24"/>
          <w:szCs w:val="24"/>
          <w:lang w:val="uk-UA" w:eastAsia="ru-RU"/>
        </w:rPr>
        <w:t>п</w:t>
      </w:r>
      <w:proofErr w:type="gramEnd"/>
      <w:r w:rsidR="00624D61">
        <w:rPr>
          <w:rFonts w:eastAsia="Times New Roman" w:cs="Times New Roman"/>
          <w:sz w:val="24"/>
          <w:szCs w:val="24"/>
          <w:lang w:val="uk-UA" w:eastAsia="ru-RU"/>
        </w:rPr>
        <w:t xml:space="preserve">ільг із сплати земельного податку </w:t>
      </w:r>
      <w:r w:rsidRPr="00851713">
        <w:rPr>
          <w:rFonts w:eastAsia="Times New Roman" w:cs="Times New Roman"/>
          <w:sz w:val="24"/>
          <w:szCs w:val="24"/>
          <w:lang w:eastAsia="ru-RU"/>
        </w:rPr>
        <w:t xml:space="preserve"> на 2019 рік є основним механізмом, яке забезпечить розв’язання визначеної проблеми.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VI.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впроваджувати або виконувати ці вимоги</w:t>
      </w:r>
    </w:p>
    <w:p w:rsid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           Адміністрування даного регуляторного акта встановлено нормами Податкового кодексу України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..</w:t>
      </w:r>
      <w:proofErr w:type="gramEnd"/>
    </w:p>
    <w:p w:rsidR="003E4DBD" w:rsidRPr="003E4DBD" w:rsidRDefault="003E4DBD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3E4DBD">
        <w:rPr>
          <w:sz w:val="24"/>
          <w:szCs w:val="24"/>
        </w:rPr>
        <w:t xml:space="preserve">Розрахунок витрат на запровадження державного регулювання для суб’єктів малого </w:t>
      </w:r>
      <w:proofErr w:type="gramStart"/>
      <w:r w:rsidRPr="003E4DBD">
        <w:rPr>
          <w:sz w:val="24"/>
          <w:szCs w:val="24"/>
        </w:rPr>
        <w:t>п</w:t>
      </w:r>
      <w:proofErr w:type="gramEnd"/>
      <w:r w:rsidRPr="003E4DBD">
        <w:rPr>
          <w:sz w:val="24"/>
          <w:szCs w:val="24"/>
        </w:rPr>
        <w:t>ідприємництва (М-тест) наведено у додатку</w:t>
      </w:r>
    </w:p>
    <w:p w:rsidR="00560F03" w:rsidRPr="00560F03" w:rsidRDefault="0072797B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72797B">
        <w:rPr>
          <w:sz w:val="24"/>
          <w:szCs w:val="24"/>
        </w:rPr>
        <w:t>  </w:t>
      </w:r>
      <w:r w:rsidR="00560F03" w:rsidRPr="00560F03">
        <w:rPr>
          <w:sz w:val="24"/>
          <w:szCs w:val="24"/>
        </w:rPr>
        <w:t xml:space="preserve">Розрахунок витрат на виконання вимог регуляторного акта згідно з додатком 3 до Методики проведення аналізу впливу регуляторного акта не проводився через відсутність суб’єктів господарювання великого та середнього </w:t>
      </w:r>
      <w:proofErr w:type="gramStart"/>
      <w:r w:rsidR="00560F03" w:rsidRPr="00560F03">
        <w:rPr>
          <w:sz w:val="24"/>
          <w:szCs w:val="24"/>
        </w:rPr>
        <w:t>п</w:t>
      </w:r>
      <w:proofErr w:type="gramEnd"/>
      <w:r w:rsidR="00560F03" w:rsidRPr="00560F03">
        <w:rPr>
          <w:sz w:val="24"/>
          <w:szCs w:val="24"/>
        </w:rPr>
        <w:t>ідприємництва.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            Органи місцевого самоврядування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над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ілені повноваженнями лише встановлювати ставки місцевих податків та зборів, не змінюючи порядок їх обчислення сплати та інші адміністративні процедури.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VII. Обґрунтування запропонованого строку дії регуляторного акта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            Запропонований термін дії регуляторного акта один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ік. В разі внесення змін до чинного законодавства України в частині справляння місцевих податків та зборів, відповідні зміни будуть внесені до даного регуляторного акту.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            У разі, якщо сільська рада до першого липня не прийняла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ішення про встановлення місцевих податків і зборів на наступний рік, що є обов’язковим згідно з нормами Податкового кодексу України, такі податки до прийняття рішення справляються виходячи з норм Податкового кодексу України із застосуванням їх мінімальних ставок, а плата за землю справляється із застосуванням ставок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,я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 xml:space="preserve">кі діяли до 31 грудня року, що передує бюджетному періоду, в якому планується застосування плати за землю. </w:t>
      </w:r>
      <w:r w:rsidRPr="00851713">
        <w:rPr>
          <w:rFonts w:eastAsia="Times New Roman" w:cs="Times New Roman"/>
          <w:sz w:val="24"/>
          <w:szCs w:val="24"/>
          <w:lang w:eastAsia="ru-RU"/>
        </w:rPr>
        <w:lastRenderedPageBreak/>
        <w:t>Враховуючи норми Бюджетного та Податкового кодексів України, органи місцевого самоврядування мають щорічно встановлювати ставки місцевих податків і зборів, що справляються в установленому Податковим кодексом України порядку. Відповідні ставки будуть діяти лише протягом року, на який прийняті.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</w:p>
    <w:p w:rsidR="00851713" w:rsidRPr="00851713" w:rsidRDefault="00851713" w:rsidP="00851713">
      <w:pPr>
        <w:spacing w:before="100" w:beforeAutospacing="1" w:after="100" w:afterAutospacing="1"/>
        <w:ind w:left="40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VIII.  Визначення показників результативності дії регуляторного акта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           Виходячи з цілей державного регулювання, визначених у другому розділі АРВ, для відстеження результативності регуляторного акта слід визна</w:t>
      </w:r>
      <w:r w:rsidR="000D3438">
        <w:rPr>
          <w:rFonts w:eastAsia="Times New Roman" w:cs="Times New Roman"/>
          <w:sz w:val="24"/>
          <w:szCs w:val="24"/>
          <w:lang w:eastAsia="ru-RU"/>
        </w:rPr>
        <w:t>чити  показник</w:t>
      </w:r>
      <w:proofErr w:type="gramStart"/>
      <w:r w:rsidR="000D343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0D3438">
        <w:rPr>
          <w:rFonts w:eastAsia="Times New Roman" w:cs="Times New Roman"/>
          <w:sz w:val="24"/>
          <w:szCs w:val="24"/>
          <w:lang w:eastAsia="ru-RU"/>
        </w:rPr>
        <w:t>,</w:t>
      </w:r>
      <w:proofErr w:type="gramEnd"/>
      <w:r w:rsidR="000D3438">
        <w:rPr>
          <w:rFonts w:eastAsia="Times New Roman" w:cs="Times New Roman"/>
          <w:sz w:val="24"/>
          <w:szCs w:val="24"/>
          <w:lang w:eastAsia="ru-RU"/>
        </w:rPr>
        <w:t xml:space="preserve"> як</w:t>
      </w:r>
      <w:r w:rsidR="000D3438">
        <w:rPr>
          <w:rFonts w:eastAsia="Times New Roman" w:cs="Times New Roman"/>
          <w:sz w:val="24"/>
          <w:szCs w:val="24"/>
          <w:lang w:val="uk-UA" w:eastAsia="ru-RU"/>
        </w:rPr>
        <w:t>ий</w:t>
      </w:r>
      <w:r w:rsidR="000D3438">
        <w:rPr>
          <w:rFonts w:eastAsia="Times New Roman" w:cs="Times New Roman"/>
          <w:sz w:val="24"/>
          <w:szCs w:val="24"/>
          <w:lang w:eastAsia="ru-RU"/>
        </w:rPr>
        <w:t xml:space="preserve"> безпосередньо характеризую</w:t>
      </w:r>
      <w:r w:rsidR="000D3438">
        <w:rPr>
          <w:rFonts w:eastAsia="Times New Roman" w:cs="Times New Roman"/>
          <w:sz w:val="24"/>
          <w:szCs w:val="24"/>
          <w:lang w:val="uk-UA" w:eastAsia="ru-RU"/>
        </w:rPr>
        <w:t>є</w:t>
      </w:r>
      <w:r w:rsidRPr="00851713">
        <w:rPr>
          <w:rFonts w:eastAsia="Times New Roman" w:cs="Times New Roman"/>
          <w:sz w:val="24"/>
          <w:szCs w:val="24"/>
          <w:lang w:eastAsia="ru-RU"/>
        </w:rPr>
        <w:t xml:space="preserve"> результативніс</w:t>
      </w:r>
      <w:r w:rsidR="000D3438">
        <w:rPr>
          <w:rFonts w:eastAsia="Times New Roman" w:cs="Times New Roman"/>
          <w:sz w:val="24"/>
          <w:szCs w:val="24"/>
          <w:lang w:eastAsia="ru-RU"/>
        </w:rPr>
        <w:t>ть дії регуляторного акта та як</w:t>
      </w:r>
      <w:r w:rsidR="000D3438">
        <w:rPr>
          <w:rFonts w:eastAsia="Times New Roman" w:cs="Times New Roman"/>
          <w:sz w:val="24"/>
          <w:szCs w:val="24"/>
          <w:lang w:val="uk-UA" w:eastAsia="ru-RU"/>
        </w:rPr>
        <w:t>ий</w:t>
      </w:r>
      <w:r w:rsidR="000D3438">
        <w:rPr>
          <w:rFonts w:eastAsia="Times New Roman" w:cs="Times New Roman"/>
          <w:sz w:val="24"/>
          <w:szCs w:val="24"/>
          <w:lang w:eastAsia="ru-RU"/>
        </w:rPr>
        <w:t xml:space="preserve"> підляг</w:t>
      </w:r>
      <w:r w:rsidR="000D3438">
        <w:rPr>
          <w:rFonts w:eastAsia="Times New Roman" w:cs="Times New Roman"/>
          <w:sz w:val="24"/>
          <w:szCs w:val="24"/>
          <w:lang w:val="uk-UA" w:eastAsia="ru-RU"/>
        </w:rPr>
        <w:t xml:space="preserve">ає </w:t>
      </w:r>
      <w:r w:rsidRPr="00851713">
        <w:rPr>
          <w:rFonts w:eastAsia="Times New Roman" w:cs="Times New Roman"/>
          <w:sz w:val="24"/>
          <w:szCs w:val="24"/>
          <w:lang w:eastAsia="ru-RU"/>
        </w:rPr>
        <w:t xml:space="preserve">контролю (відстеження результативності). Для відстеження результативності дії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регуляторного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 xml:space="preserve"> акту основними є такі показники:</w:t>
      </w:r>
    </w:p>
    <w:p w:rsid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           - сума надходжень до місцевого бюджет</w:t>
      </w:r>
      <w:r w:rsidR="000D3438">
        <w:rPr>
          <w:rFonts w:eastAsia="Times New Roman" w:cs="Times New Roman"/>
          <w:sz w:val="24"/>
          <w:szCs w:val="24"/>
          <w:lang w:eastAsia="ru-RU"/>
        </w:rPr>
        <w:t xml:space="preserve">у від сплати </w:t>
      </w:r>
      <w:r w:rsidR="000D3438">
        <w:rPr>
          <w:rFonts w:eastAsia="Times New Roman" w:cs="Times New Roman"/>
          <w:sz w:val="24"/>
          <w:szCs w:val="24"/>
          <w:lang w:val="uk-UA" w:eastAsia="ru-RU"/>
        </w:rPr>
        <w:t>земельного податку</w:t>
      </w:r>
      <w:r w:rsidRPr="00851713">
        <w:rPr>
          <w:rFonts w:eastAsia="Times New Roman" w:cs="Times New Roman"/>
          <w:sz w:val="24"/>
          <w:szCs w:val="24"/>
          <w:lang w:eastAsia="ru-RU"/>
        </w:rPr>
        <w:t xml:space="preserve"> з фізичн</w:t>
      </w:r>
      <w:r w:rsidR="000D3438">
        <w:rPr>
          <w:rFonts w:eastAsia="Times New Roman" w:cs="Times New Roman"/>
          <w:sz w:val="24"/>
          <w:szCs w:val="24"/>
          <w:lang w:eastAsia="ru-RU"/>
        </w:rPr>
        <w:t xml:space="preserve">их осіб </w:t>
      </w:r>
      <w:r w:rsidR="000D3438">
        <w:rPr>
          <w:rFonts w:eastAsia="Times New Roman" w:cs="Times New Roman"/>
          <w:sz w:val="24"/>
          <w:szCs w:val="24"/>
          <w:lang w:val="uk-UA" w:eastAsia="ru-RU"/>
        </w:rPr>
        <w:t>-</w:t>
      </w:r>
      <w:r w:rsidRPr="00851713">
        <w:rPr>
          <w:rFonts w:eastAsia="Times New Roman" w:cs="Times New Roman"/>
          <w:sz w:val="24"/>
          <w:szCs w:val="24"/>
          <w:lang w:eastAsia="ru-RU"/>
        </w:rPr>
        <w:t xml:space="preserve"> тис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.г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рн.;</w:t>
      </w:r>
    </w:p>
    <w:p w:rsidR="00AF161C" w:rsidRPr="00AF161C" w:rsidRDefault="00AF161C" w:rsidP="00AF161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sz w:val="24"/>
          <w:szCs w:val="24"/>
          <w:lang w:val="uk-UA"/>
        </w:rPr>
        <w:t xml:space="preserve">              - </w:t>
      </w:r>
      <w:r w:rsidRPr="00AF161C">
        <w:rPr>
          <w:sz w:val="24"/>
          <w:szCs w:val="24"/>
          <w:lang w:val="uk-UA"/>
        </w:rPr>
        <w:t>кількість суб’єктів господарської діяльності – платників місцевих податків (податок на майно, єдиний податок з фізичних осіб – підприємців 1,2 групи) на яких поширюватиметься дія акта, осіб;</w:t>
      </w:r>
    </w:p>
    <w:p w:rsidR="00851713" w:rsidRPr="00851713" w:rsidRDefault="000F1491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            </w:t>
      </w:r>
      <w:r w:rsidR="00851713" w:rsidRPr="00851713">
        <w:rPr>
          <w:rFonts w:eastAsia="Times New Roman" w:cs="Times New Roman"/>
          <w:sz w:val="24"/>
          <w:szCs w:val="24"/>
          <w:lang w:eastAsia="ru-RU"/>
        </w:rPr>
        <w:t> </w:t>
      </w:r>
      <w:r w:rsidR="00851713" w:rsidRPr="00AF161C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851713" w:rsidRPr="00851713">
        <w:rPr>
          <w:rFonts w:eastAsia="Times New Roman" w:cs="Times New Roman"/>
          <w:sz w:val="24"/>
          <w:szCs w:val="24"/>
          <w:lang w:eastAsia="ru-RU"/>
        </w:rPr>
        <w:t xml:space="preserve">- </w:t>
      </w:r>
      <w:proofErr w:type="gramStart"/>
      <w:r w:rsidR="00851713" w:rsidRPr="00851713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="00851713" w:rsidRPr="00851713">
        <w:rPr>
          <w:rFonts w:eastAsia="Times New Roman" w:cs="Times New Roman"/>
          <w:sz w:val="24"/>
          <w:szCs w:val="24"/>
          <w:lang w:eastAsia="ru-RU"/>
        </w:rPr>
        <w:t>івень поінформованості суб’єктів господарювання та/або фізичних осіб з основних положень акта.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Статистичні показники:</w:t>
      </w:r>
    </w:p>
    <w:tbl>
      <w:tblPr>
        <w:tblW w:w="9862" w:type="dxa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9"/>
        <w:gridCol w:w="1667"/>
        <w:gridCol w:w="1506"/>
        <w:gridCol w:w="2310"/>
      </w:tblGrid>
      <w:tr w:rsidR="00851713" w:rsidRPr="00851713" w:rsidTr="00AB4C92">
        <w:trPr>
          <w:tblCellSpacing w:w="15" w:type="dxa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Назва показника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13" w:rsidRPr="00851713" w:rsidRDefault="00D12F4E" w:rsidP="00AB4C9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19</w:t>
            </w:r>
            <w:r w:rsidR="00851713"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51713"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851713"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ік</w:t>
            </w:r>
          </w:p>
          <w:p w:rsidR="00851713" w:rsidRPr="00851713" w:rsidRDefault="00851713" w:rsidP="00AB4C9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13" w:rsidRPr="003E4DBD" w:rsidRDefault="00D12F4E" w:rsidP="00AB4C9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20</w:t>
            </w:r>
            <w:r w:rsidR="00851713"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51713"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851713"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ік</w:t>
            </w:r>
          </w:p>
          <w:p w:rsidR="00851713" w:rsidRPr="00851713" w:rsidRDefault="00851713" w:rsidP="00AB4C9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(очікувані)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13" w:rsidRPr="00851713" w:rsidRDefault="00D12F4E" w:rsidP="00AB4C9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  <w:r w:rsidR="00851713"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51713"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851713"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ік</w:t>
            </w:r>
          </w:p>
          <w:p w:rsidR="00851713" w:rsidRPr="00851713" w:rsidRDefault="00851713" w:rsidP="00AB4C9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(очікувані у в’язку з прийняттям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ішення)</w:t>
            </w:r>
          </w:p>
        </w:tc>
      </w:tr>
      <w:tr w:rsidR="00851713" w:rsidRPr="00851713" w:rsidTr="00DB1D7E">
        <w:trPr>
          <w:tblCellSpacing w:w="15" w:type="dxa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Розмі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надходжень до місцевого бюджету</w:t>
            </w:r>
            <w:r w:rsidR="00173E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від сплати місцевих податків </w:t>
            </w: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(тис.грн.) в тому числі: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E72FC3" w:rsidRDefault="00AB4C92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1907,</w:t>
            </w:r>
            <w:r w:rsidRPr="00AB4C92">
              <w:rPr>
                <w:rFonts w:eastAsia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E72FC3" w:rsidRDefault="00AB4C92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2748,</w:t>
            </w:r>
            <w:r w:rsidRPr="00AB4C92">
              <w:rPr>
                <w:rFonts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E72FC3" w:rsidRDefault="00AB4C92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B4C92">
              <w:rPr>
                <w:rFonts w:eastAsia="Times New Roman" w:cs="Times New Roman"/>
                <w:sz w:val="24"/>
                <w:szCs w:val="24"/>
                <w:lang w:val="uk-UA" w:eastAsia="ru-RU"/>
              </w:rPr>
              <w:t>2749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477A31" w:rsidRPr="00851713" w:rsidTr="00DB1D7E">
        <w:trPr>
          <w:trHeight w:val="928"/>
          <w:tblCellSpacing w:w="15" w:type="dxa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31" w:rsidRPr="00851713" w:rsidRDefault="00477A31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Плата за землю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31" w:rsidRPr="00E72FC3" w:rsidRDefault="00477A31" w:rsidP="008B7AD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1907,</w:t>
            </w:r>
            <w:r w:rsidRPr="00AB4C92">
              <w:rPr>
                <w:rFonts w:eastAsia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31" w:rsidRPr="00E72FC3" w:rsidRDefault="00477A31" w:rsidP="008B7AD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2748,</w:t>
            </w:r>
            <w:r w:rsidRPr="00AB4C92">
              <w:rPr>
                <w:rFonts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31" w:rsidRPr="00E72FC3" w:rsidRDefault="00477A31" w:rsidP="008B7AD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B4C92">
              <w:rPr>
                <w:rFonts w:eastAsia="Times New Roman" w:cs="Times New Roman"/>
                <w:sz w:val="24"/>
                <w:szCs w:val="24"/>
                <w:lang w:val="uk-UA" w:eastAsia="ru-RU"/>
              </w:rPr>
              <w:t>2749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3E4DBD" w:rsidRPr="00851713" w:rsidTr="00DB1D7E">
        <w:trPr>
          <w:tblCellSpacing w:w="15" w:type="dxa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BD" w:rsidRPr="00851713" w:rsidRDefault="003E4DBD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BD" w:rsidRDefault="003E4DBD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BD" w:rsidRDefault="003E4DBD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BD" w:rsidRDefault="003E4DBD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4DBD" w:rsidRPr="00851713" w:rsidTr="00DB1D7E">
        <w:trPr>
          <w:trHeight w:val="522"/>
          <w:tblCellSpacing w:w="15" w:type="dxa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BD" w:rsidRPr="003E4DBD" w:rsidRDefault="003E4DBD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Кількість суб’єктів господарювання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BD" w:rsidRDefault="003E4DBD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BD" w:rsidRDefault="003E4DBD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BD" w:rsidRDefault="003E4DBD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</w:tr>
      <w:tr w:rsidR="00851713" w:rsidRPr="00D12F4E" w:rsidTr="00DB1D7E">
        <w:trPr>
          <w:tblCellSpacing w:w="15" w:type="dxa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івень поінформованості суб’єктів господарювання та/або фізичних осіб з основних положень акта</w:t>
            </w:r>
          </w:p>
          <w:p w:rsidR="00560F03" w:rsidRDefault="00560F0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560F03" w:rsidRDefault="00560F0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560F03" w:rsidRDefault="00560F0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560F03" w:rsidRDefault="00560F0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560F03" w:rsidRDefault="00560F0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560F03" w:rsidRDefault="00560F0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  <w:p w:rsidR="00560F03" w:rsidRPr="00560F03" w:rsidRDefault="00560F0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75789F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60F03">
              <w:rPr>
                <w:rFonts w:eastAsia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Відповідно до частини 5 статті 12 Закону України «Про засади державної регуляторної політики у сфері господарської діяльності» регуляторні акти, прийняті органами та посадовими особами місцевого самоврядування, офіційно оприлюднюються у разі відсутності друкованих засобів масової інформації відповідних рад у місцевих друкованих засобах масової інформації. </w:t>
            </w:r>
            <w:r w:rsidRPr="0075789F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Таким чином, рівень поінформованості суб’єктів господарювання,фізичних осіб з основних </w:t>
            </w:r>
            <w:r w:rsidRPr="0075789F">
              <w:rPr>
                <w:rFonts w:eastAsia="Times New Roman" w:cs="Times New Roman"/>
                <w:sz w:val="24"/>
                <w:szCs w:val="24"/>
                <w:lang w:val="uk-UA" w:eastAsia="ru-RU"/>
              </w:rPr>
              <w:lastRenderedPageBreak/>
              <w:t>положень рішення визначається чисельністю осіб, які ознайомляться з ним.</w:t>
            </w:r>
          </w:p>
          <w:p w:rsidR="00851713" w:rsidRPr="0075789F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5789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даний регуляторний акт буде розміщено на офіційній веб-сто</w:t>
            </w:r>
            <w:r w:rsidR="002D0378" w:rsidRPr="0075789F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рінці виконкому </w:t>
            </w:r>
            <w:r w:rsidR="002D0378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Роздольської </w:t>
            </w:r>
            <w:r w:rsidRPr="0075789F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сільської ради , на дошці оголошень сільської ради та в засобах масової інформації.</w:t>
            </w:r>
          </w:p>
        </w:tc>
      </w:tr>
    </w:tbl>
    <w:p w:rsidR="00851713" w:rsidRPr="0075789F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lastRenderedPageBreak/>
        <w:t> 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IX. Визначення заході</w:t>
      </w:r>
      <w:proofErr w:type="gramStart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, за допомогою яких здійснюватиметься відстеження результативності дії регуляторного акта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            Оцінка ефективності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регуляторного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 xml:space="preserve"> акту буде здійснена за допомогою проведення базового, повторного відстеження результативності регуляторного акту.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           Відстеження результативності регуляторного акта буде проводитись статистичним методом.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           Базове відстеження результативності регуляторного акта буде здійснюватися до дня набрання чинності цим регуляторним актом.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            Повторне відстеження результативності регуляторного акта буде здійснюватися через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ік після набрання чинності регуляторним актом.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            У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рамках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 xml:space="preserve"> статистичного методу відстеження аналіз офіційної статистичної інформації буде проводитися щодо розміру надходжень до сільського бюджету та кількості осіб, на яких поширюватиметься дія акта.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</w:p>
    <w:p w:rsidR="00851713" w:rsidRPr="0023213E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Сільський  голова                                            </w:t>
      </w:r>
      <w:r w:rsidR="0023213E">
        <w:rPr>
          <w:rFonts w:eastAsia="Times New Roman" w:cs="Times New Roman"/>
          <w:sz w:val="24"/>
          <w:szCs w:val="24"/>
          <w:lang w:eastAsia="ru-RU"/>
        </w:rPr>
        <w:t>                  </w:t>
      </w:r>
      <w:r w:rsidR="0071338C">
        <w:rPr>
          <w:rFonts w:eastAsia="Times New Roman" w:cs="Times New Roman"/>
          <w:sz w:val="24"/>
          <w:szCs w:val="24"/>
          <w:lang w:val="uk-UA" w:eastAsia="ru-RU"/>
        </w:rPr>
        <w:t xml:space="preserve">              </w:t>
      </w:r>
      <w:r w:rsidR="009F41DB">
        <w:rPr>
          <w:rFonts w:eastAsia="Times New Roman" w:cs="Times New Roman"/>
          <w:sz w:val="24"/>
          <w:szCs w:val="24"/>
          <w:lang w:val="uk-UA" w:eastAsia="ru-RU"/>
        </w:rPr>
        <w:t xml:space="preserve">Валентина </w:t>
      </w:r>
      <w:r w:rsidR="00D12F4E">
        <w:rPr>
          <w:rFonts w:eastAsia="Times New Roman" w:cs="Times New Roman"/>
          <w:sz w:val="24"/>
          <w:szCs w:val="24"/>
          <w:lang w:val="uk-UA" w:eastAsia="ru-RU"/>
        </w:rPr>
        <w:t>КОПЄЙЧЕНКО</w:t>
      </w:r>
      <w:r w:rsidR="0023213E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 </w:t>
      </w:r>
    </w:p>
    <w:p w:rsid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</w:p>
    <w:p w:rsidR="00A54174" w:rsidRDefault="00A54174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</w:p>
    <w:p w:rsidR="003E4DBD" w:rsidRDefault="003E4DBD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</w:p>
    <w:p w:rsidR="003E4DBD" w:rsidRDefault="003E4DBD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</w:p>
    <w:p w:rsidR="003E4DBD" w:rsidRDefault="003E4DBD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</w:p>
    <w:p w:rsidR="003E4DBD" w:rsidRDefault="003E4DBD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</w:p>
    <w:p w:rsidR="000F1491" w:rsidRDefault="000F1491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</w:p>
    <w:p w:rsidR="00A54174" w:rsidRPr="00A54174" w:rsidRDefault="00A54174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</w:p>
    <w:p w:rsidR="00851713" w:rsidRPr="00851713" w:rsidRDefault="00851713" w:rsidP="00851713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ТЕСТ</w:t>
      </w:r>
    </w:p>
    <w:p w:rsidR="00851713" w:rsidRPr="00851713" w:rsidRDefault="00851713" w:rsidP="00851713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 малого </w:t>
      </w:r>
      <w:proofErr w:type="gramStart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ідприємництва (М-Тест)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1. Консультації з представниками мікр</w:t>
      </w:r>
      <w:proofErr w:type="gramStart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та малого підприємництва щодо оцінки впливу регулювання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Консультації щодо визначення впливу запропонованого регулювання на суб’єктів малого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ідприємництва та визначення детального переліку процедур, виконання яких необхідно для здійснення регулювання, проведено р</w:t>
      </w:r>
      <w:r w:rsidR="00D12F4E">
        <w:rPr>
          <w:rFonts w:eastAsia="Times New Roman" w:cs="Times New Roman"/>
          <w:sz w:val="24"/>
          <w:szCs w:val="24"/>
          <w:lang w:eastAsia="ru-RU"/>
        </w:rPr>
        <w:t>озробником у період з 0</w:t>
      </w:r>
      <w:r w:rsidR="00D12F4E">
        <w:rPr>
          <w:rFonts w:eastAsia="Times New Roman" w:cs="Times New Roman"/>
          <w:sz w:val="24"/>
          <w:szCs w:val="24"/>
          <w:lang w:val="uk-UA" w:eastAsia="ru-RU"/>
        </w:rPr>
        <w:t>2</w:t>
      </w:r>
      <w:r w:rsidR="00307D7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12F4E">
        <w:rPr>
          <w:rFonts w:eastAsia="Times New Roman" w:cs="Times New Roman"/>
          <w:sz w:val="24"/>
          <w:szCs w:val="24"/>
          <w:lang w:val="uk-UA" w:eastAsia="ru-RU"/>
        </w:rPr>
        <w:t>березня</w:t>
      </w:r>
      <w:r w:rsidR="00D12F4E">
        <w:rPr>
          <w:rFonts w:eastAsia="Times New Roman" w:cs="Times New Roman"/>
          <w:sz w:val="24"/>
          <w:szCs w:val="24"/>
          <w:lang w:eastAsia="ru-RU"/>
        </w:rPr>
        <w:t xml:space="preserve"> 20</w:t>
      </w:r>
      <w:r w:rsidR="00D12F4E">
        <w:rPr>
          <w:rFonts w:eastAsia="Times New Roman" w:cs="Times New Roman"/>
          <w:sz w:val="24"/>
          <w:szCs w:val="24"/>
          <w:lang w:val="uk-UA" w:eastAsia="ru-RU"/>
        </w:rPr>
        <w:t>20</w:t>
      </w:r>
      <w:r w:rsidR="00307D7D">
        <w:rPr>
          <w:rFonts w:eastAsia="Times New Roman" w:cs="Times New Roman"/>
          <w:sz w:val="24"/>
          <w:szCs w:val="24"/>
          <w:lang w:eastAsia="ru-RU"/>
        </w:rPr>
        <w:t xml:space="preserve"> р. по </w:t>
      </w:r>
      <w:r w:rsidR="00D12F4E">
        <w:rPr>
          <w:rFonts w:eastAsia="Times New Roman" w:cs="Times New Roman"/>
          <w:sz w:val="24"/>
          <w:szCs w:val="24"/>
          <w:lang w:val="uk-UA" w:eastAsia="ru-RU"/>
        </w:rPr>
        <w:t>16</w:t>
      </w:r>
      <w:r w:rsidR="00307D7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12F4E">
        <w:rPr>
          <w:rFonts w:eastAsia="Times New Roman" w:cs="Times New Roman"/>
          <w:sz w:val="24"/>
          <w:szCs w:val="24"/>
          <w:lang w:val="uk-UA" w:eastAsia="ru-RU"/>
        </w:rPr>
        <w:t>б</w:t>
      </w:r>
      <w:r w:rsidR="009F41DB">
        <w:rPr>
          <w:rFonts w:eastAsia="Times New Roman" w:cs="Times New Roman"/>
          <w:sz w:val="24"/>
          <w:szCs w:val="24"/>
          <w:lang w:val="uk-UA" w:eastAsia="ru-RU"/>
        </w:rPr>
        <w:t>е</w:t>
      </w:r>
      <w:r w:rsidR="00D12F4E">
        <w:rPr>
          <w:rFonts w:eastAsia="Times New Roman" w:cs="Times New Roman"/>
          <w:sz w:val="24"/>
          <w:szCs w:val="24"/>
          <w:lang w:val="uk-UA" w:eastAsia="ru-RU"/>
        </w:rPr>
        <w:t>резня</w:t>
      </w:r>
      <w:r w:rsidR="00307D7D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D12F4E">
        <w:rPr>
          <w:rFonts w:eastAsia="Times New Roman" w:cs="Times New Roman"/>
          <w:sz w:val="24"/>
          <w:szCs w:val="24"/>
          <w:lang w:eastAsia="ru-RU"/>
        </w:rPr>
        <w:t xml:space="preserve"> 20</w:t>
      </w:r>
      <w:r w:rsidR="00D12F4E">
        <w:rPr>
          <w:rFonts w:eastAsia="Times New Roman" w:cs="Times New Roman"/>
          <w:sz w:val="24"/>
          <w:szCs w:val="24"/>
          <w:lang w:val="uk-UA" w:eastAsia="ru-RU"/>
        </w:rPr>
        <w:t>20</w:t>
      </w:r>
      <w:r w:rsidRPr="00851713">
        <w:rPr>
          <w:rFonts w:eastAsia="Times New Roman" w:cs="Times New Roman"/>
          <w:sz w:val="24"/>
          <w:szCs w:val="24"/>
          <w:lang w:eastAsia="ru-RU"/>
        </w:rPr>
        <w:t xml:space="preserve"> р. </w:t>
      </w:r>
    </w:p>
    <w:tbl>
      <w:tblPr>
        <w:tblW w:w="89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9"/>
        <w:gridCol w:w="3905"/>
        <w:gridCol w:w="1634"/>
        <w:gridCol w:w="1962"/>
      </w:tblGrid>
      <w:tr w:rsidR="00851713" w:rsidRPr="00851713" w:rsidTr="00DB1D7E">
        <w:trPr>
          <w:trHeight w:val="30"/>
          <w:tblCellSpacing w:w="15" w:type="dxa"/>
        </w:trPr>
        <w:tc>
          <w:tcPr>
            <w:tcW w:w="142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Порядковий номер</w:t>
            </w:r>
          </w:p>
        </w:tc>
        <w:tc>
          <w:tcPr>
            <w:tcW w:w="402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Вид консультації (публічні консультації прямі (круглі столи, наради, робочі зустрічі тощо), інтернет-консультації прямі (інтернет-форуми, </w:t>
            </w:r>
            <w:proofErr w:type="gramStart"/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соц</w:t>
            </w:r>
            <w:proofErr w:type="gramEnd"/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іальні мережі тощо), запити (до підприємців, експертів, науковців тощо)</w:t>
            </w:r>
          </w:p>
        </w:tc>
        <w:tc>
          <w:tcPr>
            <w:tcW w:w="160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Кількість учасників консультацій, </w:t>
            </w:r>
            <w:proofErr w:type="gramStart"/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осіб</w:t>
            </w:r>
            <w:proofErr w:type="gramEnd"/>
          </w:p>
        </w:tc>
        <w:tc>
          <w:tcPr>
            <w:tcW w:w="193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Основні результати консультацій (опис)</w:t>
            </w:r>
          </w:p>
        </w:tc>
      </w:tr>
      <w:tr w:rsidR="00851713" w:rsidRPr="00851713" w:rsidTr="00DB1D7E">
        <w:trPr>
          <w:trHeight w:val="30"/>
          <w:tblCellSpacing w:w="15" w:type="dxa"/>
        </w:trPr>
        <w:tc>
          <w:tcPr>
            <w:tcW w:w="142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Робочі наради та зустрічі (опитування)</w:t>
            </w:r>
          </w:p>
        </w:tc>
        <w:tc>
          <w:tcPr>
            <w:tcW w:w="160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7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5" w:type="dxa"/>
            <w:vAlign w:val="center"/>
            <w:hideMark/>
          </w:tcPr>
          <w:p w:rsidR="00851713" w:rsidRPr="00851713" w:rsidRDefault="00851713" w:rsidP="009F41DB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Обговорено та запропоновано </w:t>
            </w:r>
            <w:r w:rsidR="009F41DB"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затвердити</w:t>
            </w: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розміри  ставок мі</w:t>
            </w:r>
            <w:r w:rsidR="00D12F4E">
              <w:rPr>
                <w:rFonts w:eastAsia="Times New Roman" w:cs="Times New Roman"/>
                <w:sz w:val="24"/>
                <w:szCs w:val="24"/>
                <w:lang w:eastAsia="ru-RU"/>
              </w:rPr>
              <w:t>сцевих податків і зборів на 20</w:t>
            </w:r>
            <w:r w:rsidR="00D12F4E"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ік</w:t>
            </w:r>
          </w:p>
        </w:tc>
      </w:tr>
      <w:tr w:rsidR="00851713" w:rsidRPr="00851713" w:rsidTr="00DB1D7E">
        <w:trPr>
          <w:trHeight w:val="30"/>
          <w:tblCellSpacing w:w="15" w:type="dxa"/>
        </w:trPr>
        <w:tc>
          <w:tcPr>
            <w:tcW w:w="142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Вид консультацій:</w:t>
            </w:r>
          </w:p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телефонному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усному режимі</w:t>
            </w:r>
          </w:p>
        </w:tc>
        <w:tc>
          <w:tcPr>
            <w:tcW w:w="1605" w:type="dxa"/>
            <w:vAlign w:val="center"/>
            <w:hideMark/>
          </w:tcPr>
          <w:p w:rsidR="00851713" w:rsidRPr="00307D7D" w:rsidRDefault="00307D7D" w:rsidP="00851713">
            <w:pPr>
              <w:spacing w:before="100" w:beforeAutospacing="1" w:after="100" w:afterAutospacing="1" w:line="30" w:lineRule="atLeast"/>
              <w:ind w:left="780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93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Отримана інформація про </w:t>
            </w:r>
            <w:r w:rsidR="00D12F4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місцеві податки і збори на 20</w:t>
            </w:r>
            <w:r w:rsidR="00D12F4E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</w:t>
            </w: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ік, обговорено та запропоновано </w:t>
            </w:r>
            <w:r w:rsidR="009F41DB"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затвердити</w:t>
            </w:r>
            <w:r w:rsidR="009F41DB"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розміри  ставок мі</w:t>
            </w:r>
            <w:r w:rsidR="00D12F4E">
              <w:rPr>
                <w:rFonts w:eastAsia="Times New Roman" w:cs="Times New Roman"/>
                <w:sz w:val="24"/>
                <w:szCs w:val="24"/>
                <w:lang w:eastAsia="ru-RU"/>
              </w:rPr>
              <w:t>сцевих податків і зборів на 20</w:t>
            </w:r>
            <w:r w:rsidR="00D12F4E"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рік</w:t>
            </w:r>
          </w:p>
        </w:tc>
      </w:tr>
    </w:tbl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2. Вимірювання впливу регулювання на суб’єктів малого </w:t>
      </w:r>
      <w:proofErr w:type="gramStart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ідприємництва (мікро- та малі):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 кількість суб’єктів малого </w:t>
      </w:r>
      <w:proofErr w:type="gramStart"/>
      <w:r w:rsidRPr="00851713">
        <w:rPr>
          <w:rFonts w:eastAsia="Times New Roman" w:cs="Times New Roman"/>
          <w:b/>
          <w:bCs/>
          <w:i/>
          <w:iCs/>
          <w:sz w:val="24"/>
          <w:szCs w:val="24"/>
          <w:u w:val="single"/>
          <w:lang w:eastAsia="ru-RU"/>
        </w:rPr>
        <w:t>п</w:t>
      </w:r>
      <w:proofErr w:type="gramEnd"/>
      <w:r w:rsidRPr="00851713">
        <w:rPr>
          <w:rFonts w:eastAsia="Times New Roman" w:cs="Times New Roman"/>
          <w:b/>
          <w:bCs/>
          <w:i/>
          <w:iCs/>
          <w:sz w:val="24"/>
          <w:szCs w:val="24"/>
          <w:u w:val="single"/>
          <w:lang w:eastAsia="ru-RU"/>
        </w:rPr>
        <w:t>ідприємництва, на яких поширюється рег</w:t>
      </w:r>
      <w:r w:rsidR="0089024A">
        <w:rPr>
          <w:rFonts w:eastAsia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улювання: </w:t>
      </w:r>
      <w:r w:rsidR="0089024A">
        <w:rPr>
          <w:rFonts w:eastAsia="Times New Roman" w:cs="Times New Roman"/>
          <w:b/>
          <w:bCs/>
          <w:i/>
          <w:iCs/>
          <w:sz w:val="24"/>
          <w:szCs w:val="24"/>
          <w:u w:val="single"/>
          <w:lang w:val="uk-UA" w:eastAsia="ru-RU"/>
        </w:rPr>
        <w:t>21</w:t>
      </w:r>
      <w:r w:rsidRPr="00851713">
        <w:rPr>
          <w:rFonts w:eastAsia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(одиниць),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питома вага суб’єктів малого </w:t>
      </w:r>
      <w:proofErr w:type="gramStart"/>
      <w:r w:rsidRPr="00851713">
        <w:rPr>
          <w:rFonts w:eastAsia="Times New Roman" w:cs="Times New Roman"/>
          <w:b/>
          <w:bCs/>
          <w:i/>
          <w:iCs/>
          <w:sz w:val="24"/>
          <w:szCs w:val="24"/>
          <w:u w:val="single"/>
          <w:lang w:eastAsia="ru-RU"/>
        </w:rPr>
        <w:t>п</w:t>
      </w:r>
      <w:proofErr w:type="gramEnd"/>
      <w:r w:rsidRPr="00851713">
        <w:rPr>
          <w:rFonts w:eastAsia="Times New Roman" w:cs="Times New Roman"/>
          <w:b/>
          <w:bCs/>
          <w:i/>
          <w:iCs/>
          <w:sz w:val="24"/>
          <w:szCs w:val="24"/>
          <w:u w:val="single"/>
          <w:lang w:eastAsia="ru-RU"/>
        </w:rPr>
        <w:t>ідприємництва у загальній кількості суб’єктів господарювання, на яких проблема справляє вплив  100%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 xml:space="preserve">3. Розрахунок витрат суб’єктів малого </w:t>
      </w:r>
      <w:proofErr w:type="gramStart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ідприємництва на виконання вимог регулювання</w:t>
      </w:r>
    </w:p>
    <w:tbl>
      <w:tblPr>
        <w:tblW w:w="100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8"/>
        <w:gridCol w:w="4220"/>
        <w:gridCol w:w="1711"/>
        <w:gridCol w:w="1442"/>
        <w:gridCol w:w="1129"/>
      </w:tblGrid>
      <w:tr w:rsidR="00851713" w:rsidRPr="00851713" w:rsidTr="00DB1D7E">
        <w:trPr>
          <w:trHeight w:val="30"/>
          <w:tblCellSpacing w:w="15" w:type="dxa"/>
        </w:trPr>
        <w:tc>
          <w:tcPr>
            <w:tcW w:w="151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Порядковий номер</w:t>
            </w:r>
          </w:p>
        </w:tc>
        <w:tc>
          <w:tcPr>
            <w:tcW w:w="432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5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Найменування оцінки</w:t>
            </w:r>
          </w:p>
        </w:tc>
        <w:tc>
          <w:tcPr>
            <w:tcW w:w="169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 перший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ік (стартовий рік провадження регулювання)</w:t>
            </w:r>
          </w:p>
        </w:tc>
        <w:tc>
          <w:tcPr>
            <w:tcW w:w="142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Періодичні (за наступний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ік)</w:t>
            </w:r>
          </w:p>
        </w:tc>
        <w:tc>
          <w:tcPr>
            <w:tcW w:w="109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Витрати за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п'ять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років</w:t>
            </w:r>
          </w:p>
        </w:tc>
      </w:tr>
      <w:tr w:rsidR="00851713" w:rsidRPr="00851713" w:rsidTr="00DB1D7E">
        <w:trPr>
          <w:trHeight w:val="30"/>
          <w:tblCellSpacing w:w="15" w:type="dxa"/>
        </w:trPr>
        <w:tc>
          <w:tcPr>
            <w:tcW w:w="10050" w:type="dxa"/>
            <w:gridSpan w:val="5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Оцінка "прямих" витрат суб'єктів малого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ідприємництва на виконання регулювання</w:t>
            </w:r>
          </w:p>
        </w:tc>
      </w:tr>
      <w:tr w:rsidR="00851713" w:rsidRPr="00851713" w:rsidTr="00DB1D7E">
        <w:trPr>
          <w:trHeight w:val="30"/>
          <w:tblCellSpacing w:w="15" w:type="dxa"/>
        </w:trPr>
        <w:tc>
          <w:tcPr>
            <w:tcW w:w="151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Придбання необхідного обладнання (пристрої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, машин, механізмів)</w:t>
            </w:r>
          </w:p>
        </w:tc>
        <w:tc>
          <w:tcPr>
            <w:tcW w:w="1695" w:type="dxa"/>
            <w:vAlign w:val="center"/>
            <w:hideMark/>
          </w:tcPr>
          <w:p w:rsidR="00851713" w:rsidRPr="00307D7D" w:rsidRDefault="00307D7D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5" w:type="dxa"/>
            <w:vAlign w:val="center"/>
            <w:hideMark/>
          </w:tcPr>
          <w:p w:rsidR="00851713" w:rsidRPr="00307D7D" w:rsidRDefault="00307D7D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95" w:type="dxa"/>
            <w:vAlign w:val="center"/>
            <w:hideMark/>
          </w:tcPr>
          <w:p w:rsidR="00851713" w:rsidRPr="00307D7D" w:rsidRDefault="00307D7D" w:rsidP="00307D7D">
            <w:pPr>
              <w:spacing w:before="100" w:beforeAutospacing="1" w:after="100" w:afterAutospacing="1" w:line="30" w:lineRule="atLeast"/>
              <w:ind w:left="640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51713" w:rsidRPr="00851713" w:rsidTr="00DB1D7E">
        <w:trPr>
          <w:trHeight w:val="1005"/>
          <w:tblCellSpacing w:w="15" w:type="dxa"/>
        </w:trPr>
        <w:tc>
          <w:tcPr>
            <w:tcW w:w="151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Процедури повірки та/або постановки на відповідний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ік у визначеному органі державної влади чи місцевого самоврядування</w:t>
            </w:r>
          </w:p>
        </w:tc>
        <w:tc>
          <w:tcPr>
            <w:tcW w:w="1695" w:type="dxa"/>
            <w:vAlign w:val="center"/>
            <w:hideMark/>
          </w:tcPr>
          <w:p w:rsidR="00851713" w:rsidRPr="00307D7D" w:rsidRDefault="00307D7D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5" w:type="dxa"/>
            <w:vAlign w:val="center"/>
            <w:hideMark/>
          </w:tcPr>
          <w:p w:rsidR="00851713" w:rsidRPr="00307D7D" w:rsidRDefault="00307D7D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95" w:type="dxa"/>
            <w:vAlign w:val="center"/>
            <w:hideMark/>
          </w:tcPr>
          <w:p w:rsidR="00851713" w:rsidRPr="00307D7D" w:rsidRDefault="00307D7D" w:rsidP="00851713">
            <w:pPr>
              <w:spacing w:before="100" w:beforeAutospacing="1" w:after="100" w:afterAutospacing="1"/>
              <w:ind w:left="64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51713" w:rsidRPr="00851713" w:rsidTr="00DB1D7E">
        <w:trPr>
          <w:trHeight w:val="30"/>
          <w:tblCellSpacing w:w="15" w:type="dxa"/>
        </w:trPr>
        <w:tc>
          <w:tcPr>
            <w:tcW w:w="151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Процедури експлуатації обладнання (експлуатаційні витрати - витратні матеріали)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грн</w:t>
            </w:r>
          </w:p>
        </w:tc>
        <w:tc>
          <w:tcPr>
            <w:tcW w:w="1695" w:type="dxa"/>
            <w:vAlign w:val="center"/>
            <w:hideMark/>
          </w:tcPr>
          <w:p w:rsidR="00851713" w:rsidRPr="00307D7D" w:rsidRDefault="00307D7D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5" w:type="dxa"/>
            <w:vAlign w:val="center"/>
            <w:hideMark/>
          </w:tcPr>
          <w:p w:rsidR="00851713" w:rsidRPr="00307D7D" w:rsidRDefault="00307D7D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95" w:type="dxa"/>
            <w:vAlign w:val="center"/>
            <w:hideMark/>
          </w:tcPr>
          <w:p w:rsidR="00851713" w:rsidRPr="00307D7D" w:rsidRDefault="00307D7D" w:rsidP="00851713">
            <w:pPr>
              <w:spacing w:before="100" w:beforeAutospacing="1" w:after="100" w:afterAutospacing="1" w:line="30" w:lineRule="atLeast"/>
              <w:ind w:left="64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51713" w:rsidRPr="00851713" w:rsidTr="00DB1D7E">
        <w:trPr>
          <w:trHeight w:val="30"/>
          <w:tblCellSpacing w:w="15" w:type="dxa"/>
        </w:trPr>
        <w:tc>
          <w:tcPr>
            <w:tcW w:w="151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2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Процедури обслуговування обладнання (технічне обслуговування)</w:t>
            </w:r>
          </w:p>
        </w:tc>
        <w:tc>
          <w:tcPr>
            <w:tcW w:w="1695" w:type="dxa"/>
            <w:vAlign w:val="center"/>
            <w:hideMark/>
          </w:tcPr>
          <w:p w:rsidR="00851713" w:rsidRPr="00307D7D" w:rsidRDefault="00307D7D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5" w:type="dxa"/>
            <w:vAlign w:val="center"/>
            <w:hideMark/>
          </w:tcPr>
          <w:p w:rsidR="00851713" w:rsidRPr="00307D7D" w:rsidRDefault="00307D7D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95" w:type="dxa"/>
            <w:vAlign w:val="center"/>
            <w:hideMark/>
          </w:tcPr>
          <w:p w:rsidR="00851713" w:rsidRPr="00307D7D" w:rsidRDefault="00307D7D" w:rsidP="00851713">
            <w:pPr>
              <w:spacing w:before="100" w:beforeAutospacing="1" w:after="100" w:afterAutospacing="1" w:line="30" w:lineRule="atLeast"/>
              <w:ind w:left="64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51713" w:rsidRPr="00851713" w:rsidTr="00DB1D7E">
        <w:trPr>
          <w:trHeight w:val="30"/>
          <w:tblCellSpacing w:w="15" w:type="dxa"/>
        </w:trPr>
        <w:tc>
          <w:tcPr>
            <w:tcW w:w="151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2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Інші процедури</w:t>
            </w:r>
          </w:p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(сплата податкі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зборів), гривень</w:t>
            </w:r>
          </w:p>
        </w:tc>
        <w:tc>
          <w:tcPr>
            <w:tcW w:w="1695" w:type="dxa"/>
            <w:vAlign w:val="center"/>
            <w:hideMark/>
          </w:tcPr>
          <w:p w:rsidR="00851713" w:rsidRPr="00307D7D" w:rsidRDefault="00307D7D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64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1713" w:rsidRPr="00851713" w:rsidTr="00DB1D7E">
        <w:trPr>
          <w:trHeight w:val="30"/>
          <w:tblCellSpacing w:w="15" w:type="dxa"/>
        </w:trPr>
        <w:tc>
          <w:tcPr>
            <w:tcW w:w="151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2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Разом, гривень Формула:</w:t>
            </w:r>
          </w:p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(сума рядків 1 + 2 + 3 + 4 + 5)</w:t>
            </w:r>
          </w:p>
        </w:tc>
        <w:tc>
          <w:tcPr>
            <w:tcW w:w="1695" w:type="dxa"/>
            <w:vAlign w:val="center"/>
            <w:hideMark/>
          </w:tcPr>
          <w:p w:rsidR="00851713" w:rsidRPr="00307D7D" w:rsidRDefault="00307D7D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5" w:type="dxa"/>
            <w:vAlign w:val="center"/>
            <w:hideMark/>
          </w:tcPr>
          <w:p w:rsidR="00851713" w:rsidRPr="00307D7D" w:rsidRDefault="00307D7D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95" w:type="dxa"/>
            <w:vAlign w:val="center"/>
            <w:hideMark/>
          </w:tcPr>
          <w:p w:rsidR="00851713" w:rsidRPr="00307D7D" w:rsidRDefault="00307D7D" w:rsidP="00851713">
            <w:pPr>
              <w:spacing w:before="100" w:beforeAutospacing="1" w:after="100" w:afterAutospacing="1" w:line="30" w:lineRule="atLeast"/>
              <w:ind w:left="64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51713" w:rsidRPr="00851713" w:rsidTr="00DB1D7E">
        <w:trPr>
          <w:trHeight w:val="30"/>
          <w:tblCellSpacing w:w="15" w:type="dxa"/>
        </w:trPr>
        <w:tc>
          <w:tcPr>
            <w:tcW w:w="151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2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Кількість суб'єктів господарювання, що повинні виконати вимоги регулювання, одиниць</w:t>
            </w:r>
          </w:p>
        </w:tc>
        <w:tc>
          <w:tcPr>
            <w:tcW w:w="4215" w:type="dxa"/>
            <w:gridSpan w:val="3"/>
            <w:vAlign w:val="center"/>
            <w:hideMark/>
          </w:tcPr>
          <w:p w:rsidR="00851713" w:rsidRPr="003E4DBD" w:rsidRDefault="003E4DBD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</w:tr>
      <w:tr w:rsidR="00851713" w:rsidRPr="00851713" w:rsidTr="00DB1D7E">
        <w:trPr>
          <w:trHeight w:val="30"/>
          <w:tblCellSpacing w:w="15" w:type="dxa"/>
        </w:trPr>
        <w:tc>
          <w:tcPr>
            <w:tcW w:w="1515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2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Сумарно, гривень Формула:</w:t>
            </w:r>
          </w:p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відповідний стовпчик "разом" Х кількість суб' єктів малого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ідприємництва, що повинні виконати вимоги регулювання (рядок 6 Х рядок 7), грн</w:t>
            </w:r>
          </w:p>
        </w:tc>
        <w:tc>
          <w:tcPr>
            <w:tcW w:w="1695" w:type="dxa"/>
            <w:vAlign w:val="center"/>
            <w:hideMark/>
          </w:tcPr>
          <w:p w:rsidR="00851713" w:rsidRPr="003E4DBD" w:rsidRDefault="00307D7D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5" w:type="dxa"/>
            <w:vAlign w:val="center"/>
            <w:hideMark/>
          </w:tcPr>
          <w:p w:rsidR="00851713" w:rsidRPr="00307D7D" w:rsidRDefault="00307D7D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95" w:type="dxa"/>
            <w:vAlign w:val="center"/>
            <w:hideMark/>
          </w:tcPr>
          <w:p w:rsidR="00851713" w:rsidRPr="00307D7D" w:rsidRDefault="00307D7D" w:rsidP="00851713">
            <w:pPr>
              <w:spacing w:before="100" w:beforeAutospacing="1" w:after="100" w:afterAutospacing="1" w:line="30" w:lineRule="atLeast"/>
              <w:ind w:left="64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4"/>
        <w:gridCol w:w="4551"/>
        <w:gridCol w:w="2017"/>
        <w:gridCol w:w="1351"/>
        <w:gridCol w:w="1117"/>
      </w:tblGrid>
      <w:tr w:rsidR="00851713" w:rsidRPr="00851713" w:rsidTr="00DB1D7E">
        <w:trPr>
          <w:trHeight w:val="30"/>
          <w:tblCellSpacing w:w="15" w:type="dxa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9024A">
            <w:pPr>
              <w:spacing w:before="100" w:beforeAutospacing="1" w:after="100" w:afterAutospacing="1" w:line="30" w:lineRule="atLeast"/>
              <w:ind w:left="14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Оцінка вартості адміністративних процедур суб’єктів малого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ідприємництва щодо виконання регулювання та звітування</w:t>
            </w:r>
          </w:p>
        </w:tc>
      </w:tr>
      <w:tr w:rsidR="00307D7D" w:rsidRPr="00851713" w:rsidTr="00DB1D7E">
        <w:trPr>
          <w:trHeight w:val="30"/>
          <w:tblCellSpacing w:w="15" w:type="dxa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D2" w:rsidRDefault="002842D2" w:rsidP="002842D2">
            <w:pPr>
              <w:pStyle w:val="21"/>
              <w:shd w:val="clear" w:color="auto" w:fill="auto"/>
              <w:spacing w:before="0" w:after="180" w:line="240" w:lineRule="exact"/>
              <w:ind w:firstLine="0"/>
              <w:jc w:val="both"/>
            </w:pPr>
            <w:r>
              <w:rPr>
                <w:rStyle w:val="212pt2"/>
                <w:color w:val="000000"/>
                <w:lang w:eastAsia="uk-UA"/>
              </w:rPr>
              <w:t>Розрахунок 1 людино-години</w:t>
            </w:r>
          </w:p>
          <w:p w:rsidR="004C66AB" w:rsidRPr="004C66AB" w:rsidRDefault="002842D2" w:rsidP="002842D2">
            <w:pPr>
              <w:widowControl w:val="0"/>
              <w:suppressLineNumbers/>
              <w:spacing w:after="150"/>
              <w:jc w:val="both"/>
              <w:rPr>
                <w:rFonts w:eastAsia="SimSun"/>
                <w:kern w:val="1"/>
                <w:sz w:val="24"/>
                <w:szCs w:val="24"/>
                <w:lang w:bidi="hi-IN"/>
              </w:rPr>
            </w:pPr>
            <w:r>
              <w:rPr>
                <w:rStyle w:val="212pt2"/>
                <w:color w:val="000000"/>
                <w:lang w:eastAsia="uk-UA"/>
              </w:rPr>
              <w:t>Норма робочого часу на 20</w:t>
            </w:r>
            <w:r>
              <w:rPr>
                <w:rStyle w:val="212pt2"/>
                <w:color w:val="000000"/>
                <w:lang w:val="uk-UA" w:eastAsia="uk-UA"/>
              </w:rPr>
              <w:t>20</w:t>
            </w:r>
            <w:r>
              <w:rPr>
                <w:rStyle w:val="212pt2"/>
                <w:color w:val="000000"/>
                <w:lang w:eastAsia="uk-UA"/>
              </w:rPr>
              <w:t xml:space="preserve"> </w:t>
            </w:r>
            <w:proofErr w:type="gramStart"/>
            <w:r>
              <w:rPr>
                <w:rStyle w:val="212pt2"/>
                <w:color w:val="000000"/>
                <w:lang w:eastAsia="uk-UA"/>
              </w:rPr>
              <w:t>р</w:t>
            </w:r>
            <w:proofErr w:type="gramEnd"/>
            <w:r>
              <w:rPr>
                <w:rStyle w:val="212pt2"/>
                <w:color w:val="000000"/>
                <w:lang w:eastAsia="uk-UA"/>
              </w:rPr>
              <w:t xml:space="preserve">ік становить при 40-годинному робочому тижні </w:t>
            </w:r>
            <w:r>
              <w:rPr>
                <w:rStyle w:val="212pt2"/>
                <w:color w:val="000000"/>
                <w:lang w:val="uk-UA" w:eastAsia="uk-UA"/>
              </w:rPr>
              <w:t>2002</w:t>
            </w:r>
            <w:r>
              <w:rPr>
                <w:rStyle w:val="212pt2"/>
                <w:color w:val="000000"/>
                <w:lang w:eastAsia="uk-UA"/>
              </w:rPr>
              <w:t>,0</w:t>
            </w:r>
            <w:r>
              <w:rPr>
                <w:rStyle w:val="212pt2"/>
                <w:color w:val="000000"/>
                <w:lang w:eastAsia="uk-UA"/>
              </w:rPr>
              <w:br/>
              <w:t xml:space="preserve">годин (Лист Міністерства соціальної політики від </w:t>
            </w:r>
            <w:r>
              <w:rPr>
                <w:rStyle w:val="212pt2"/>
                <w:color w:val="000000"/>
                <w:lang w:val="uk-UA" w:eastAsia="uk-UA"/>
              </w:rPr>
              <w:t>29</w:t>
            </w:r>
            <w:r>
              <w:rPr>
                <w:rStyle w:val="212pt2"/>
                <w:color w:val="000000"/>
                <w:lang w:eastAsia="uk-UA"/>
              </w:rPr>
              <w:t>.</w:t>
            </w:r>
            <w:r>
              <w:rPr>
                <w:rStyle w:val="212pt2"/>
                <w:color w:val="000000"/>
                <w:lang w:val="uk-UA" w:eastAsia="uk-UA"/>
              </w:rPr>
              <w:t>07</w:t>
            </w:r>
            <w:r>
              <w:rPr>
                <w:rStyle w:val="212pt2"/>
                <w:color w:val="000000"/>
                <w:lang w:eastAsia="uk-UA"/>
              </w:rPr>
              <w:t>.201</w:t>
            </w:r>
            <w:r>
              <w:rPr>
                <w:rStyle w:val="212pt2"/>
                <w:color w:val="000000"/>
                <w:lang w:val="uk-UA" w:eastAsia="uk-UA"/>
              </w:rPr>
              <w:t>9</w:t>
            </w:r>
            <w:r>
              <w:rPr>
                <w:rStyle w:val="212pt2"/>
                <w:color w:val="000000"/>
                <w:lang w:eastAsia="uk-UA"/>
              </w:rPr>
              <w:t xml:space="preserve"> р. </w:t>
            </w:r>
            <w:r>
              <w:rPr>
                <w:rStyle w:val="212pt2"/>
                <w:color w:val="000000"/>
                <w:lang w:val="uk-UA" w:eastAsia="uk-UA"/>
              </w:rPr>
              <w:t>№</w:t>
            </w:r>
            <w:r>
              <w:rPr>
                <w:rStyle w:val="212pt2"/>
                <w:color w:val="000000"/>
                <w:lang w:eastAsia="uk-UA"/>
              </w:rPr>
              <w:t xml:space="preserve"> </w:t>
            </w:r>
            <w:r>
              <w:rPr>
                <w:rStyle w:val="212pt2"/>
                <w:color w:val="000000"/>
                <w:lang w:val="uk-UA" w:eastAsia="uk-UA"/>
              </w:rPr>
              <w:t>1133</w:t>
            </w:r>
            <w:r>
              <w:rPr>
                <w:rStyle w:val="212pt2"/>
                <w:color w:val="000000"/>
                <w:lang w:eastAsia="uk-UA"/>
              </w:rPr>
              <w:t>/0/</w:t>
            </w:r>
            <w:r>
              <w:rPr>
                <w:rStyle w:val="212pt2"/>
                <w:color w:val="000000"/>
                <w:lang w:val="uk-UA" w:eastAsia="uk-UA"/>
              </w:rPr>
              <w:t>206</w:t>
            </w:r>
            <w:r>
              <w:rPr>
                <w:rStyle w:val="212pt2"/>
                <w:color w:val="000000"/>
                <w:lang w:eastAsia="uk-UA"/>
              </w:rPr>
              <w:t>-</w:t>
            </w:r>
            <w:r>
              <w:rPr>
                <w:rStyle w:val="212pt2"/>
                <w:color w:val="000000"/>
                <w:lang w:val="uk-UA" w:eastAsia="uk-UA"/>
              </w:rPr>
              <w:t>19</w:t>
            </w:r>
            <w:r>
              <w:rPr>
                <w:rStyle w:val="212pt2"/>
                <w:color w:val="000000"/>
                <w:lang w:eastAsia="uk-UA"/>
              </w:rPr>
              <w:t>)</w:t>
            </w:r>
            <w:r w:rsidRPr="00536C1A">
              <w:rPr>
                <w:color w:val="000000"/>
                <w:lang w:eastAsia="uk-UA"/>
              </w:rPr>
              <w:t xml:space="preserve"> </w:t>
            </w:r>
            <w:r w:rsidRPr="00536C1A">
              <w:rPr>
                <w:rStyle w:val="212pt2"/>
                <w:color w:val="000000"/>
                <w:lang w:eastAsia="uk-UA"/>
              </w:rPr>
              <w:t xml:space="preserve">Мінімальний розмір заробітної плати з </w:t>
            </w:r>
            <w:r>
              <w:rPr>
                <w:rStyle w:val="212pt2"/>
                <w:color w:val="000000"/>
                <w:lang w:eastAsia="uk-UA"/>
              </w:rPr>
              <w:t>01.01.20</w:t>
            </w:r>
            <w:r>
              <w:rPr>
                <w:rStyle w:val="212pt2"/>
                <w:color w:val="000000"/>
                <w:lang w:val="uk-UA" w:eastAsia="uk-UA"/>
              </w:rPr>
              <w:t>20</w:t>
            </w:r>
            <w:r w:rsidRPr="00536C1A">
              <w:rPr>
                <w:rStyle w:val="212pt2"/>
                <w:color w:val="000000"/>
                <w:lang w:eastAsia="uk-UA"/>
              </w:rPr>
              <w:t xml:space="preserve"> року встановлений: у місячному розмірі -</w:t>
            </w:r>
            <w:r w:rsidRPr="00536C1A">
              <w:rPr>
                <w:rStyle w:val="212pt2"/>
                <w:color w:val="000000"/>
                <w:lang w:eastAsia="uk-UA"/>
              </w:rPr>
              <w:br/>
              <w:t>4</w:t>
            </w:r>
            <w:r>
              <w:rPr>
                <w:rStyle w:val="212pt2"/>
                <w:color w:val="000000"/>
                <w:lang w:val="uk-UA" w:eastAsia="uk-UA"/>
              </w:rPr>
              <w:t>723</w:t>
            </w:r>
            <w:r w:rsidRPr="00536C1A">
              <w:rPr>
                <w:rStyle w:val="212pt2"/>
                <w:color w:val="000000"/>
                <w:lang w:eastAsia="uk-UA"/>
              </w:rPr>
              <w:t xml:space="preserve"> гривень, у погодинному розмірі -</w:t>
            </w:r>
            <w:r>
              <w:rPr>
                <w:rStyle w:val="212pt2"/>
                <w:color w:val="000000"/>
                <w:lang w:val="uk-UA" w:eastAsia="uk-UA"/>
              </w:rPr>
              <w:t>28,31</w:t>
            </w:r>
            <w:r w:rsidRPr="00536C1A">
              <w:rPr>
                <w:rStyle w:val="212pt2"/>
                <w:color w:val="000000"/>
                <w:lang w:eastAsia="uk-UA"/>
              </w:rPr>
              <w:t xml:space="preserve"> гривні (ст. 8 Закону України “Про Державний</w:t>
            </w:r>
            <w:r w:rsidRPr="00536C1A">
              <w:rPr>
                <w:color w:val="000000"/>
                <w:lang w:eastAsia="uk-UA"/>
              </w:rPr>
              <w:t xml:space="preserve"> </w:t>
            </w:r>
            <w:r w:rsidRPr="002842D2">
              <w:rPr>
                <w:rStyle w:val="20"/>
                <w:color w:val="000000"/>
                <w:lang w:eastAsia="uk-UA"/>
              </w:rPr>
              <w:t>бюджет України на 20</w:t>
            </w:r>
            <w:r w:rsidRPr="002842D2">
              <w:rPr>
                <w:rStyle w:val="20"/>
                <w:color w:val="000000"/>
                <w:lang w:val="uk-UA" w:eastAsia="uk-UA"/>
              </w:rPr>
              <w:t>20</w:t>
            </w:r>
            <w:r w:rsidRPr="002842D2">
              <w:rPr>
                <w:rStyle w:val="20"/>
                <w:color w:val="000000"/>
                <w:lang w:eastAsia="uk-UA"/>
              </w:rPr>
              <w:t xml:space="preserve"> </w:t>
            </w:r>
            <w:proofErr w:type="gramStart"/>
            <w:r w:rsidRPr="002842D2">
              <w:rPr>
                <w:rStyle w:val="20"/>
                <w:color w:val="000000"/>
                <w:lang w:eastAsia="uk-UA"/>
              </w:rPr>
              <w:t>р</w:t>
            </w:r>
            <w:proofErr w:type="gramEnd"/>
            <w:r w:rsidRPr="002842D2">
              <w:rPr>
                <w:rStyle w:val="20"/>
                <w:color w:val="000000"/>
                <w:lang w:eastAsia="uk-UA"/>
              </w:rPr>
              <w:t>ік”).</w:t>
            </w:r>
            <w:r w:rsidR="00307D7D" w:rsidRPr="002842D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842D2">
              <w:rPr>
                <w:rFonts w:eastAsia="SimSun"/>
                <w:color w:val="000000"/>
                <w:kern w:val="1"/>
                <w:sz w:val="24"/>
                <w:szCs w:val="24"/>
                <w:lang w:val="uk-UA" w:bidi="hi-IN"/>
              </w:rPr>
              <w:t>Середній розмір заробітної плати Михайлівському району станом на 01.01.2020 року склав</w:t>
            </w:r>
            <w:r>
              <w:rPr>
                <w:rFonts w:eastAsia="SimSun"/>
                <w:color w:val="000000"/>
                <w:kern w:val="1"/>
                <w:sz w:val="24"/>
                <w:szCs w:val="24"/>
                <w:lang w:val="uk-UA" w:bidi="hi-IN"/>
              </w:rPr>
              <w:t xml:space="preserve"> </w:t>
            </w:r>
            <w:r w:rsidRPr="002842D2">
              <w:rPr>
                <w:rFonts w:eastAsia="SimSun"/>
                <w:color w:val="000000"/>
                <w:kern w:val="1"/>
                <w:sz w:val="24"/>
                <w:szCs w:val="24"/>
                <w:lang w:val="uk-UA" w:bidi="hi-IN"/>
              </w:rPr>
              <w:t>у сумі 6962 гривня 00 копійка (Держстат Головне управління статистики у Запорізькій</w:t>
            </w:r>
            <w:r>
              <w:rPr>
                <w:rFonts w:eastAsia="SimSun"/>
                <w:color w:val="000000"/>
                <w:kern w:val="1"/>
                <w:sz w:val="24"/>
                <w:szCs w:val="24"/>
                <w:lang w:val="uk-UA" w:bidi="hi-IN"/>
              </w:rPr>
              <w:t xml:space="preserve"> </w:t>
            </w:r>
            <w:r w:rsidRPr="002842D2">
              <w:rPr>
                <w:rFonts w:eastAsia="SimSun"/>
                <w:color w:val="000000"/>
                <w:kern w:val="1"/>
                <w:sz w:val="24"/>
                <w:szCs w:val="24"/>
                <w:lang w:val="uk-UA" w:bidi="hi-IN"/>
              </w:rPr>
              <w:t xml:space="preserve">області офіційний сайт http://www.zp.ukrstat.gov.ua). Тоді середня </w:t>
            </w:r>
            <w:r w:rsidRPr="002842D2">
              <w:rPr>
                <w:rFonts w:eastAsia="SimSun"/>
                <w:color w:val="000000"/>
                <w:kern w:val="1"/>
                <w:sz w:val="24"/>
                <w:szCs w:val="24"/>
                <w:lang w:val="uk-UA" w:bidi="hi-IN"/>
              </w:rPr>
              <w:lastRenderedPageBreak/>
              <w:t>заробітна плата у</w:t>
            </w:r>
            <w:r>
              <w:rPr>
                <w:rFonts w:eastAsia="SimSun"/>
                <w:color w:val="000000"/>
                <w:kern w:val="1"/>
                <w:sz w:val="24"/>
                <w:szCs w:val="24"/>
                <w:lang w:val="uk-UA" w:bidi="hi-IN"/>
              </w:rPr>
              <w:t xml:space="preserve"> </w:t>
            </w:r>
            <w:r w:rsidRPr="002842D2">
              <w:rPr>
                <w:rFonts w:eastAsia="SimSun"/>
                <w:color w:val="000000"/>
                <w:kern w:val="1"/>
                <w:sz w:val="24"/>
                <w:szCs w:val="24"/>
                <w:lang w:val="uk-UA" w:bidi="hi-IN"/>
              </w:rPr>
              <w:t>погодинному розмірі на рік складе: 41,73 грн.</w:t>
            </w:r>
          </w:p>
          <w:p w:rsidR="00307D7D" w:rsidRPr="004C66AB" w:rsidRDefault="00307D7D" w:rsidP="00307D7D">
            <w:pPr>
              <w:spacing w:before="100" w:beforeAutospacing="1" w:after="100" w:afterAutospacing="1" w:line="30" w:lineRule="atLeast"/>
              <w:ind w:left="14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E6F79" w:rsidRPr="00851713" w:rsidTr="00DB1D7E">
        <w:trPr>
          <w:trHeight w:val="30"/>
          <w:tblCellSpacing w:w="15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Процедури отримання первинної інформації про вимоги регулювання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0E6F79" w:rsidP="00851713">
            <w:pPr>
              <w:spacing w:before="100" w:beforeAutospacing="1" w:after="100" w:afterAutospacing="1" w:line="3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год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42D2" w:rsidRPr="002842D2">
              <w:rPr>
                <w:rFonts w:eastAsia="SimSun"/>
                <w:color w:val="000000"/>
                <w:kern w:val="1"/>
                <w:sz w:val="24"/>
                <w:szCs w:val="24"/>
                <w:lang w:val="uk-UA" w:bidi="hi-IN"/>
              </w:rPr>
              <w:t>41,73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грн.= </w:t>
            </w:r>
            <w:r w:rsidR="002842D2" w:rsidRPr="002842D2">
              <w:rPr>
                <w:rFonts w:eastAsia="SimSun"/>
                <w:color w:val="000000"/>
                <w:kern w:val="1"/>
                <w:sz w:val="24"/>
                <w:szCs w:val="24"/>
                <w:lang w:val="uk-UA" w:bidi="hi-IN"/>
              </w:rPr>
              <w:t>41,73</w:t>
            </w:r>
            <w:r w:rsidR="00851713"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64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E6F79" w:rsidRPr="00851713" w:rsidTr="00DB1D7E">
        <w:trPr>
          <w:trHeight w:val="30"/>
          <w:tblCellSpacing w:w="15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Процедури організації виконання вимог регулювання: Внесення змін до внутрішніх процедур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іку та звітності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0E6F79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год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4C92" w:rsidRPr="002842D2">
              <w:rPr>
                <w:rFonts w:eastAsia="SimSun"/>
                <w:color w:val="000000"/>
                <w:kern w:val="1"/>
                <w:sz w:val="24"/>
                <w:szCs w:val="24"/>
                <w:lang w:val="uk-UA" w:bidi="hi-IN"/>
              </w:rPr>
              <w:t>41,73</w:t>
            </w:r>
            <w:r w:rsidR="00AB4C92">
              <w:rPr>
                <w:rFonts w:eastAsia="SimSun"/>
                <w:color w:val="000000"/>
                <w:kern w:val="1"/>
                <w:sz w:val="24"/>
                <w:szCs w:val="24"/>
                <w:lang w:val="uk-UA" w:bidi="hi-IN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грн.= </w:t>
            </w:r>
            <w:r w:rsidR="00AB4C92" w:rsidRPr="002842D2">
              <w:rPr>
                <w:rFonts w:eastAsia="SimSun"/>
                <w:color w:val="000000"/>
                <w:kern w:val="1"/>
                <w:sz w:val="24"/>
                <w:szCs w:val="24"/>
                <w:lang w:val="uk-UA" w:bidi="hi-IN"/>
              </w:rPr>
              <w:t>41,73</w:t>
            </w:r>
            <w:r w:rsidR="00AB4C92">
              <w:rPr>
                <w:rFonts w:eastAsia="SimSun"/>
                <w:color w:val="000000"/>
                <w:kern w:val="1"/>
                <w:sz w:val="24"/>
                <w:szCs w:val="24"/>
                <w:lang w:val="uk-UA" w:bidi="hi-IN"/>
              </w:rPr>
              <w:t xml:space="preserve"> </w:t>
            </w:r>
            <w:r w:rsidR="00851713"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грн.</w:t>
            </w:r>
          </w:p>
          <w:p w:rsidR="00851713" w:rsidRPr="00851713" w:rsidRDefault="00851713" w:rsidP="00851713">
            <w:pPr>
              <w:spacing w:before="100" w:beforeAutospacing="1" w:after="100" w:afterAutospacing="1" w:line="3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64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E6F79" w:rsidRPr="00851713" w:rsidTr="00DB1D7E">
        <w:trPr>
          <w:trHeight w:val="30"/>
          <w:tblCellSpacing w:w="15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Процедури офіційного звітування</w:t>
            </w:r>
          </w:p>
          <w:p w:rsidR="000E6F79" w:rsidRPr="000E6F79" w:rsidRDefault="000E6F79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Сплата податку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79" w:rsidRDefault="000E6F79" w:rsidP="000E6F79">
            <w:pPr>
              <w:spacing w:before="100" w:beforeAutospacing="1" w:after="100" w:afterAutospacing="1" w:line="3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(0,25год.+0,25год.)</w:t>
            </w:r>
          </w:p>
          <w:p w:rsidR="00851713" w:rsidRPr="000E6F79" w:rsidRDefault="004C66AB" w:rsidP="000E6F79">
            <w:pPr>
              <w:spacing w:before="100" w:beforeAutospacing="1" w:after="100" w:afterAutospacing="1" w:line="3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*12*</w:t>
            </w:r>
            <w:r w:rsidR="00AB4C92" w:rsidRPr="002842D2">
              <w:rPr>
                <w:rFonts w:eastAsia="SimSun"/>
                <w:color w:val="000000"/>
                <w:kern w:val="1"/>
                <w:sz w:val="24"/>
                <w:szCs w:val="24"/>
                <w:lang w:val="uk-UA" w:bidi="hi-IN"/>
              </w:rPr>
              <w:t>41,73</w:t>
            </w:r>
            <w:r w:rsidR="00AB4C92">
              <w:rPr>
                <w:rFonts w:eastAsia="SimSun"/>
                <w:color w:val="000000"/>
                <w:kern w:val="1"/>
                <w:sz w:val="24"/>
                <w:szCs w:val="24"/>
                <w:lang w:val="uk-UA" w:bidi="hi-IN"/>
              </w:rPr>
              <w:t xml:space="preserve"> </w:t>
            </w:r>
            <w:r w:rsidR="000E6F79">
              <w:rPr>
                <w:rFonts w:eastAsia="Times New Roman" w:cs="Times New Roman"/>
                <w:sz w:val="24"/>
                <w:szCs w:val="24"/>
                <w:lang w:val="uk-UA" w:eastAsia="ru-RU"/>
              </w:rPr>
              <w:t>грн</w:t>
            </w:r>
            <w:r w:rsidR="00AB4C9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E6F79">
              <w:rPr>
                <w:rFonts w:eastAsia="Times New Roman" w:cs="Times New Roman"/>
                <w:sz w:val="24"/>
                <w:szCs w:val="24"/>
                <w:lang w:val="uk-UA" w:eastAsia="ru-RU"/>
              </w:rPr>
              <w:t>=</w:t>
            </w:r>
            <w:r w:rsidR="00AB4C9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B4C92" w:rsidRPr="00AB4C92">
              <w:rPr>
                <w:rFonts w:eastAsia="Times New Roman" w:cs="Times New Roman"/>
                <w:sz w:val="24"/>
                <w:szCs w:val="24"/>
                <w:lang w:val="uk-UA" w:eastAsia="ru-RU"/>
              </w:rPr>
              <w:t>250,38</w:t>
            </w:r>
            <w:r w:rsidR="00AB4C9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грн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D4" w:rsidRPr="002555D4" w:rsidRDefault="002555D4" w:rsidP="002555D4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0E6F79" w:rsidRDefault="002555D4" w:rsidP="002555D4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0E6F79" w:rsidRPr="00851713" w:rsidTr="00DB1D7E">
        <w:trPr>
          <w:trHeight w:val="30"/>
          <w:tblCellSpacing w:w="15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Процедури щодо забезпечення процесу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перев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ірок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64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E6F79" w:rsidRPr="00851713" w:rsidTr="00DB1D7E">
        <w:trPr>
          <w:trHeight w:val="30"/>
          <w:tblCellSpacing w:w="15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Інші процедури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64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E6F79" w:rsidRPr="00851713" w:rsidTr="00DB1D7E">
        <w:trPr>
          <w:trHeight w:val="30"/>
          <w:tblCellSpacing w:w="15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не передбачено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64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E6F79" w:rsidRPr="00851713" w:rsidTr="00DB1D7E">
        <w:trPr>
          <w:trHeight w:val="30"/>
          <w:tblCellSpacing w:w="15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Разом, гривень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2555D4" w:rsidRDefault="00AB4C92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B4C92">
              <w:rPr>
                <w:rFonts w:eastAsia="Times New Roman" w:cs="Times New Roman"/>
                <w:sz w:val="24"/>
                <w:szCs w:val="24"/>
                <w:lang w:val="uk-UA" w:eastAsia="ru-RU"/>
              </w:rPr>
              <w:t>333,84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64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E6F79" w:rsidRPr="00851713" w:rsidTr="00DB1D7E">
        <w:trPr>
          <w:trHeight w:val="30"/>
          <w:tblCellSpacing w:w="15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Кількість суб’єктів малого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ідприємництва, що повинні виконати вимоги регулювання, одиниць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3E4DBD" w:rsidRDefault="003E4DBD" w:rsidP="00851713">
            <w:pPr>
              <w:spacing w:before="100" w:beforeAutospacing="1" w:after="100" w:afterAutospacing="1" w:line="30" w:lineRule="atLeast"/>
              <w:ind w:left="64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</w:tr>
      <w:tr w:rsidR="000E6F79" w:rsidRPr="00851713" w:rsidTr="00DB1D7E">
        <w:trPr>
          <w:trHeight w:val="30"/>
          <w:tblCellSpacing w:w="15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Сумарно, гривень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3E4DBD" w:rsidRDefault="00AB4C92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B4C92">
              <w:rPr>
                <w:rFonts w:eastAsia="Times New Roman" w:cs="Times New Roman"/>
                <w:sz w:val="24"/>
                <w:szCs w:val="24"/>
                <w:lang w:val="uk-UA" w:eastAsia="ru-RU"/>
              </w:rPr>
              <w:t>7010,64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 w:line="30" w:lineRule="atLeast"/>
              <w:ind w:left="64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51713" w:rsidRPr="00851713" w:rsidRDefault="00851713" w:rsidP="00C60E5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</w:p>
    <w:p w:rsidR="00851713" w:rsidRPr="00851713" w:rsidRDefault="00851713" w:rsidP="00851713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БЮДЖЕТНІ ВИТРАТИ</w:t>
      </w:r>
    </w:p>
    <w:p w:rsidR="00851713" w:rsidRPr="00851713" w:rsidRDefault="00851713" w:rsidP="00851713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 на адміністрування регулювання для суб’єктів малого і мікропідприємництва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Бюджетні витрати не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ідлягають розрахунку, оскільки встановлені нормами Податкового кодексу України.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4. Розрахунок сумарних витрат суб’єктів малого </w:t>
      </w:r>
      <w:proofErr w:type="gramStart"/>
      <w:r w:rsidRPr="00851713">
        <w:rPr>
          <w:rFonts w:eastAsia="Times New Roman" w:cs="Times New Roman"/>
          <w:b/>
          <w:bCs/>
          <w:i/>
          <w:iCs/>
          <w:sz w:val="24"/>
          <w:szCs w:val="24"/>
          <w:u w:val="single"/>
          <w:lang w:eastAsia="ru-RU"/>
        </w:rPr>
        <w:t>п</w:t>
      </w:r>
      <w:proofErr w:type="gramEnd"/>
      <w:r w:rsidRPr="00851713">
        <w:rPr>
          <w:rFonts w:eastAsia="Times New Roman" w:cs="Times New Roman"/>
          <w:b/>
          <w:bCs/>
          <w:i/>
          <w:iCs/>
          <w:sz w:val="24"/>
          <w:szCs w:val="24"/>
          <w:u w:val="single"/>
          <w:lang w:eastAsia="ru-RU"/>
        </w:rPr>
        <w:t>ідприємництва, що виникають на виконання вимог регулювання</w:t>
      </w:r>
    </w:p>
    <w:tbl>
      <w:tblPr>
        <w:tblW w:w="99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4604"/>
        <w:gridCol w:w="2359"/>
        <w:gridCol w:w="2243"/>
      </w:tblGrid>
      <w:tr w:rsidR="00851713" w:rsidRPr="00851713" w:rsidTr="00DB1D7E">
        <w:trPr>
          <w:trHeight w:val="660"/>
          <w:tblCellSpacing w:w="1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Показник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Перший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ік регулювання (стартовий), гривень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п’ять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років, гривень</w:t>
            </w:r>
          </w:p>
        </w:tc>
      </w:tr>
      <w:tr w:rsidR="00851713" w:rsidRPr="00851713" w:rsidTr="00DB1D7E">
        <w:trPr>
          <w:trHeight w:val="675"/>
          <w:tblCellSpacing w:w="1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Оцінка “прямих” витрат суб’єктів малого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ідприємництва на виконання регулювання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521558" w:rsidRDefault="002555D4" w:rsidP="002555D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51713" w:rsidRPr="00851713" w:rsidTr="00DB1D7E">
        <w:trPr>
          <w:trHeight w:val="930"/>
          <w:tblCellSpacing w:w="1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Оцінка вартості адміністративних процедур для суб’єктів малого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ідприємництва щодо виконання регулювання та звітування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521558" w:rsidRDefault="00AB4C92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B4C92">
              <w:rPr>
                <w:rFonts w:eastAsia="Times New Roman" w:cs="Times New Roman"/>
                <w:sz w:val="24"/>
                <w:szCs w:val="24"/>
                <w:lang w:val="uk-UA" w:eastAsia="ru-RU"/>
              </w:rPr>
              <w:t>7010,64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51713" w:rsidRPr="00851713" w:rsidTr="00DB1D7E">
        <w:trPr>
          <w:trHeight w:val="675"/>
          <w:tblCellSpacing w:w="1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Сумарні витрати малого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ідприємництва на виконання запланованого регулювання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521558" w:rsidRDefault="00AB4C92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B4C92">
              <w:rPr>
                <w:rFonts w:eastAsia="Times New Roman" w:cs="Times New Roman"/>
                <w:sz w:val="24"/>
                <w:szCs w:val="24"/>
                <w:lang w:val="uk-UA" w:eastAsia="ru-RU"/>
              </w:rPr>
              <w:t>7010,64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51713" w:rsidRPr="00851713" w:rsidTr="00DB1D7E">
        <w:trPr>
          <w:trHeight w:val="660"/>
          <w:tblCellSpacing w:w="1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Бюджетні витрати на адміністрування регулювання суб’єктів малого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ідприємництва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51713" w:rsidRPr="00851713" w:rsidTr="00DB1D7E">
        <w:trPr>
          <w:trHeight w:val="675"/>
          <w:tblCellSpacing w:w="1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Сумарні витрати на виконання запланованого регулювання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521558" w:rsidRDefault="00AB4C92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B4C92">
              <w:rPr>
                <w:rFonts w:eastAsia="Times New Roman" w:cs="Times New Roman"/>
                <w:sz w:val="24"/>
                <w:szCs w:val="24"/>
                <w:lang w:val="uk-UA" w:eastAsia="ru-RU"/>
              </w:rPr>
              <w:t>7010,64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51713" w:rsidRPr="00851713" w:rsidRDefault="00851713" w:rsidP="00851713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</w:p>
    <w:p w:rsidR="00851713" w:rsidRPr="00851713" w:rsidRDefault="00851713" w:rsidP="00851713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5. Розроблення корегуючих (пом’якшувальних) заходів для малого </w:t>
      </w:r>
      <w:proofErr w:type="gramStart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ідприємництва щодо запропонованого регулювання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      На основі аналізу статистичних даних що наданні го</w:t>
      </w:r>
      <w:r w:rsidR="004C66AB">
        <w:rPr>
          <w:rFonts w:eastAsia="Times New Roman" w:cs="Times New Roman"/>
          <w:sz w:val="24"/>
          <w:szCs w:val="24"/>
          <w:lang w:eastAsia="ru-RU"/>
        </w:rPr>
        <w:t>ловним бухгалтером</w:t>
      </w:r>
      <w:r w:rsidR="004C66AB">
        <w:rPr>
          <w:rFonts w:eastAsia="Times New Roman" w:cs="Times New Roman"/>
          <w:sz w:val="24"/>
          <w:szCs w:val="24"/>
          <w:lang w:val="uk-UA" w:eastAsia="ru-RU"/>
        </w:rPr>
        <w:t xml:space="preserve"> Роздольської </w:t>
      </w:r>
      <w:r w:rsidRPr="00851713">
        <w:rPr>
          <w:rFonts w:eastAsia="Times New Roman" w:cs="Times New Roman"/>
          <w:sz w:val="24"/>
          <w:szCs w:val="24"/>
          <w:lang w:eastAsia="ru-RU"/>
        </w:rPr>
        <w:t xml:space="preserve">сільської ради визначено, що зазначена сума є прийнятною для суб’єктів малого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 xml:space="preserve">ідприємництва і впровадження </w:t>
      </w:r>
      <w:r w:rsidR="0071338C">
        <w:rPr>
          <w:rFonts w:eastAsia="Times New Roman" w:cs="Times New Roman"/>
          <w:sz w:val="24"/>
          <w:szCs w:val="24"/>
          <w:lang w:eastAsia="ru-RU"/>
        </w:rPr>
        <w:t>компенсаторних (пом’якшувальних</w:t>
      </w:r>
      <w:r w:rsidRPr="00851713">
        <w:rPr>
          <w:rFonts w:eastAsia="Times New Roman" w:cs="Times New Roman"/>
          <w:sz w:val="24"/>
          <w:szCs w:val="24"/>
          <w:lang w:eastAsia="ru-RU"/>
        </w:rPr>
        <w:t>) процедур не потрібно.</w:t>
      </w:r>
    </w:p>
    <w:tbl>
      <w:tblPr>
        <w:tblW w:w="96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8"/>
        <w:gridCol w:w="4807"/>
      </w:tblGrid>
      <w:tr w:rsidR="00851713" w:rsidRPr="00851713" w:rsidTr="00DB1D7E">
        <w:trPr>
          <w:trHeight w:val="480"/>
          <w:tblCellSpacing w:w="15" w:type="dxa"/>
        </w:trPr>
        <w:tc>
          <w:tcPr>
            <w:tcW w:w="480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Процедура, що потребує корегування </w:t>
            </w:r>
          </w:p>
        </w:tc>
        <w:tc>
          <w:tcPr>
            <w:tcW w:w="480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Корегуючий механізм</w:t>
            </w:r>
          </w:p>
        </w:tc>
      </w:tr>
      <w:tr w:rsidR="00851713" w:rsidRPr="00851713" w:rsidTr="00DB1D7E">
        <w:trPr>
          <w:trHeight w:val="465"/>
          <w:tblCellSpacing w:w="15" w:type="dxa"/>
        </w:trPr>
        <w:tc>
          <w:tcPr>
            <w:tcW w:w="480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999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3"/>
        <w:gridCol w:w="3232"/>
        <w:gridCol w:w="3335"/>
      </w:tblGrid>
      <w:tr w:rsidR="00851713" w:rsidRPr="00851713" w:rsidTr="00DB1D7E">
        <w:trPr>
          <w:trHeight w:val="1155"/>
          <w:tblCellSpacing w:w="15" w:type="dxa"/>
        </w:trPr>
        <w:tc>
          <w:tcPr>
            <w:tcW w:w="342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Показник</w:t>
            </w:r>
          </w:p>
        </w:tc>
        <w:tc>
          <w:tcPr>
            <w:tcW w:w="324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Сумарні витрати малого </w:t>
            </w:r>
            <w:proofErr w:type="gramStart"/>
            <w:r w:rsidRPr="00851713">
              <w:rPr>
                <w:rFonts w:eastAsia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</w:t>
            </w:r>
            <w:proofErr w:type="gramEnd"/>
            <w:r w:rsidRPr="00851713">
              <w:rPr>
                <w:rFonts w:eastAsia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ідприємництва на виконання запланованого регулювання за перший рік, гривень</w:t>
            </w:r>
          </w:p>
        </w:tc>
        <w:tc>
          <w:tcPr>
            <w:tcW w:w="333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Сумарні витрати малого </w:t>
            </w:r>
            <w:proofErr w:type="gramStart"/>
            <w:r w:rsidRPr="00851713">
              <w:rPr>
                <w:rFonts w:eastAsia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</w:t>
            </w:r>
            <w:proofErr w:type="gramEnd"/>
            <w:r w:rsidRPr="00851713">
              <w:rPr>
                <w:rFonts w:eastAsia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ідприємництва на виконання запланованого регулювання за п’ять років, гривень</w:t>
            </w:r>
          </w:p>
        </w:tc>
      </w:tr>
      <w:tr w:rsidR="00851713" w:rsidRPr="00851713" w:rsidTr="00DB1D7E">
        <w:trPr>
          <w:trHeight w:val="420"/>
          <w:tblCellSpacing w:w="15" w:type="dxa"/>
        </w:trPr>
        <w:tc>
          <w:tcPr>
            <w:tcW w:w="342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Заплановане регулювання</w:t>
            </w:r>
          </w:p>
        </w:tc>
        <w:tc>
          <w:tcPr>
            <w:tcW w:w="3240" w:type="dxa"/>
            <w:vAlign w:val="center"/>
            <w:hideMark/>
          </w:tcPr>
          <w:p w:rsidR="00851713" w:rsidRPr="00E3796D" w:rsidRDefault="00AB4C92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AB4C92">
              <w:rPr>
                <w:rFonts w:eastAsia="Times New Roman" w:cs="Times New Roman"/>
                <w:i/>
                <w:iCs/>
                <w:sz w:val="24"/>
                <w:szCs w:val="24"/>
                <w:u w:val="single"/>
                <w:lang w:val="uk-UA" w:eastAsia="ru-RU"/>
              </w:rPr>
              <w:t>7010,64</w:t>
            </w:r>
          </w:p>
        </w:tc>
        <w:tc>
          <w:tcPr>
            <w:tcW w:w="333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1713" w:rsidRPr="00851713" w:rsidTr="00DB1D7E">
        <w:trPr>
          <w:trHeight w:val="660"/>
          <w:tblCellSpacing w:w="15" w:type="dxa"/>
        </w:trPr>
        <w:tc>
          <w:tcPr>
            <w:tcW w:w="342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За умов застосування компенсаторних механізмів для малого </w:t>
            </w:r>
            <w:proofErr w:type="gramStart"/>
            <w:r w:rsidRPr="00851713">
              <w:rPr>
                <w:rFonts w:eastAsia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</w:t>
            </w:r>
            <w:proofErr w:type="gramEnd"/>
            <w:r w:rsidRPr="00851713">
              <w:rPr>
                <w:rFonts w:eastAsia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ідприємництва</w:t>
            </w:r>
          </w:p>
        </w:tc>
        <w:tc>
          <w:tcPr>
            <w:tcW w:w="324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0</w:t>
            </w:r>
          </w:p>
        </w:tc>
        <w:tc>
          <w:tcPr>
            <w:tcW w:w="333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0</w:t>
            </w:r>
          </w:p>
        </w:tc>
      </w:tr>
      <w:tr w:rsidR="00851713" w:rsidRPr="00851713" w:rsidTr="00DB1D7E">
        <w:trPr>
          <w:trHeight w:val="645"/>
          <w:tblCellSpacing w:w="15" w:type="dxa"/>
        </w:trPr>
        <w:tc>
          <w:tcPr>
            <w:tcW w:w="342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Сумарно: зміна вартості регулювання малого </w:t>
            </w:r>
            <w:proofErr w:type="gramStart"/>
            <w:r w:rsidRPr="00851713">
              <w:rPr>
                <w:rFonts w:eastAsia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</w:t>
            </w:r>
            <w:proofErr w:type="gramEnd"/>
            <w:r w:rsidRPr="00851713">
              <w:rPr>
                <w:rFonts w:eastAsia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ідприємництва</w:t>
            </w:r>
          </w:p>
        </w:tc>
        <w:tc>
          <w:tcPr>
            <w:tcW w:w="324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0</w:t>
            </w:r>
          </w:p>
        </w:tc>
        <w:tc>
          <w:tcPr>
            <w:tcW w:w="3330" w:type="dxa"/>
            <w:vAlign w:val="center"/>
            <w:hideMark/>
          </w:tcPr>
          <w:p w:rsidR="00851713" w:rsidRPr="00851713" w:rsidRDefault="00851713" w:rsidP="0085171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0</w:t>
            </w:r>
          </w:p>
        </w:tc>
      </w:tr>
    </w:tbl>
    <w:p w:rsidR="00851713" w:rsidRPr="00851713" w:rsidRDefault="00851713" w:rsidP="00851713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Аналіз регуляторного впливу проекту </w:t>
      </w:r>
      <w:proofErr w:type="gramStart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ішення</w:t>
      </w:r>
      <w:r w:rsidR="002555D4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Роздольської</w:t>
      </w: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сільської  ради</w:t>
      </w:r>
    </w:p>
    <w:p w:rsidR="00851713" w:rsidRPr="00851713" w:rsidRDefault="00173EBC" w:rsidP="00851713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r w:rsidR="00E3796D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Про встановлення ставок і </w:t>
      </w:r>
      <w:proofErr w:type="gramStart"/>
      <w:r w:rsidR="00E3796D">
        <w:rPr>
          <w:rFonts w:eastAsia="Times New Roman" w:cs="Times New Roman"/>
          <w:b/>
          <w:bCs/>
          <w:sz w:val="24"/>
          <w:szCs w:val="24"/>
          <w:lang w:val="uk-UA" w:eastAsia="ru-RU"/>
        </w:rPr>
        <w:t>п</w:t>
      </w:r>
      <w:proofErr w:type="gramEnd"/>
      <w:r w:rsidR="00E3796D">
        <w:rPr>
          <w:rFonts w:eastAsia="Times New Roman" w:cs="Times New Roman"/>
          <w:b/>
          <w:bCs/>
          <w:sz w:val="24"/>
          <w:szCs w:val="24"/>
          <w:lang w:val="uk-UA" w:eastAsia="ru-RU"/>
        </w:rPr>
        <w:t>ільг із сплати</w:t>
      </w:r>
      <w:r w:rsidR="00D12F4E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земельного податку на 2021</w:t>
      </w:r>
      <w:r w:rsidR="006C4997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71338C">
        <w:rPr>
          <w:rFonts w:eastAsia="Times New Roman" w:cs="Times New Roman"/>
          <w:b/>
          <w:bCs/>
          <w:sz w:val="24"/>
          <w:szCs w:val="24"/>
          <w:lang w:val="uk-UA" w:eastAsia="ru-RU"/>
        </w:rPr>
        <w:t>рік</w:t>
      </w:r>
      <w:r w:rsidR="00851713" w:rsidRPr="00851713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Аналіз регуляторного впливу проекту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ішення міської ради «</w:t>
      </w:r>
      <w:r w:rsidR="00E3796D" w:rsidRPr="00E3796D">
        <w:rPr>
          <w:rFonts w:eastAsia="Times New Roman" w:cs="Times New Roman"/>
          <w:bCs/>
          <w:sz w:val="24"/>
          <w:szCs w:val="24"/>
          <w:lang w:val="uk-UA" w:eastAsia="ru-RU"/>
        </w:rPr>
        <w:t>Про встановлення ставок і пільг із с</w:t>
      </w:r>
      <w:r w:rsidR="002842D2">
        <w:rPr>
          <w:rFonts w:eastAsia="Times New Roman" w:cs="Times New Roman"/>
          <w:bCs/>
          <w:sz w:val="24"/>
          <w:szCs w:val="24"/>
          <w:lang w:val="uk-UA" w:eastAsia="ru-RU"/>
        </w:rPr>
        <w:t>плати земельного податку на 2021</w:t>
      </w:r>
      <w:r w:rsidR="006C4997">
        <w:rPr>
          <w:rFonts w:eastAsia="Times New Roman" w:cs="Times New Roman"/>
          <w:bCs/>
          <w:sz w:val="24"/>
          <w:szCs w:val="24"/>
          <w:lang w:val="uk-UA" w:eastAsia="ru-RU"/>
        </w:rPr>
        <w:t xml:space="preserve"> </w:t>
      </w:r>
      <w:r w:rsidR="00E3796D" w:rsidRPr="00E3796D">
        <w:rPr>
          <w:rFonts w:eastAsia="Times New Roman" w:cs="Times New Roman"/>
          <w:bCs/>
          <w:sz w:val="24"/>
          <w:szCs w:val="24"/>
          <w:lang w:val="uk-UA" w:eastAsia="ru-RU"/>
        </w:rPr>
        <w:t>рік</w:t>
      </w:r>
      <w:r w:rsidRPr="00851713">
        <w:rPr>
          <w:rFonts w:eastAsia="Times New Roman" w:cs="Times New Roman"/>
          <w:sz w:val="24"/>
          <w:szCs w:val="24"/>
          <w:lang w:eastAsia="ru-RU"/>
        </w:rPr>
        <w:t>» підготовлено згідно з вимогами Закону України «Про засади державної регуляторної політики у сфері господарської діяльності», Методики проведення аналізу впливу регуляторного акта, затвердженої постановою Кабінету Міністрів України від 11.03.04 № 308.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1. Визначення та аналіз проблеми, яку пропонується розв'язати шляхом регулювання господарських відносин.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lastRenderedPageBreak/>
        <w:t xml:space="preserve">Законом України «Про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м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ісцеве самоврядування в Україні» та Податковим кодексом України повноваження щодо встановлення місцевих податків і зборів покладені на органи місцевого самоврядування.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Податковим кодексом зобов’язано органи місцевого самоврядування забезпечити прийняття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ішень та їх офіційне оприлюднення щодо встановлення місцевих податків та зборів до 15 липня року, що передує бюджетному періоду, в якому планується їх застосування. 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Даним проектом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ішення пропонується затвердити рішення сільської ради «</w:t>
      </w:r>
      <w:r w:rsidR="00E3796D" w:rsidRPr="00E3796D">
        <w:rPr>
          <w:rFonts w:eastAsia="Times New Roman" w:cs="Times New Roman"/>
          <w:bCs/>
          <w:sz w:val="24"/>
          <w:szCs w:val="24"/>
          <w:lang w:val="uk-UA" w:eastAsia="ru-RU"/>
        </w:rPr>
        <w:t>Про встановлення ставок і пільг із с</w:t>
      </w:r>
      <w:r w:rsidR="00AB4C92">
        <w:rPr>
          <w:rFonts w:eastAsia="Times New Roman" w:cs="Times New Roman"/>
          <w:bCs/>
          <w:sz w:val="24"/>
          <w:szCs w:val="24"/>
          <w:lang w:val="uk-UA" w:eastAsia="ru-RU"/>
        </w:rPr>
        <w:t>плати земельного податку на 2021</w:t>
      </w:r>
      <w:r w:rsidR="006C4997">
        <w:rPr>
          <w:rFonts w:eastAsia="Times New Roman" w:cs="Times New Roman"/>
          <w:bCs/>
          <w:sz w:val="24"/>
          <w:szCs w:val="24"/>
          <w:lang w:val="uk-UA" w:eastAsia="ru-RU"/>
        </w:rPr>
        <w:t xml:space="preserve"> </w:t>
      </w:r>
      <w:r w:rsidR="00E3796D" w:rsidRPr="00E3796D">
        <w:rPr>
          <w:rFonts w:eastAsia="Times New Roman" w:cs="Times New Roman"/>
          <w:bCs/>
          <w:sz w:val="24"/>
          <w:szCs w:val="24"/>
          <w:lang w:val="uk-UA" w:eastAsia="ru-RU"/>
        </w:rPr>
        <w:t>рік</w:t>
      </w:r>
      <w:r w:rsidRPr="00851713">
        <w:rPr>
          <w:rFonts w:eastAsia="Times New Roman" w:cs="Times New Roman"/>
          <w:sz w:val="24"/>
          <w:szCs w:val="24"/>
          <w:lang w:eastAsia="ru-RU"/>
        </w:rPr>
        <w:t>» з додатками до цього рішення.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Прийняття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ішення з даного питання необхідне для прозорого та ефективного встановлення місцевих податків та зборів, здійснення необхідного контролю за своєчасністю та повнотою проведення платежів. 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2. </w:t>
      </w:r>
      <w:proofErr w:type="gramStart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Ц</w:t>
      </w:r>
      <w:proofErr w:type="gramEnd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ілі регулювання.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Основними цілями прийняття пропонованого регуляторного акту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 xml:space="preserve"> є:</w:t>
      </w:r>
      <w:proofErr w:type="gramEnd"/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- визначення переліку податкі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 xml:space="preserve"> та зборів, що мають справлятися на території сільської ради;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- встановлення відносин, що виникають у сфері справляння місцевих податкі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 xml:space="preserve"> та зборів;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- встановлення розмірів ставок місцевих податків та зборів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 xml:space="preserve"> межах визначених Податковим кодексом України із врахуванням потреб об’єднаної територіальної громади;</w:t>
      </w:r>
    </w:p>
    <w:p w:rsidR="00851713" w:rsidRPr="0084750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- здійснення планування та прогнозування надходжень від місцевих податкі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 xml:space="preserve"> та зборів при формуванні сільського бюджету об’єднаної громади.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3.</w:t>
      </w: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Визначення та оцінка усіх прийнятих альтернативних способів досягнення зазначених цілей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Альтернативи щодо вирішення даної проблеми немає, оскільки відповідно до Податкового кодексу України органи місцевого самоврядування самостійно встановлюють і визначають порядок сплати місцевих податків та зборів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ідповідно до переліку і в межах установлених граничних розмірів ставок.</w:t>
      </w:r>
    </w:p>
    <w:p w:rsidR="00851713" w:rsidRPr="0071338C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У разі не встановлення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ішеннями органів місцевого самоврядування, місцевих податків та зборів. Передбачених пунктом 10.3 статті 10 Кодексу, такі податки і збори сплачуються платниками у порядку, встановленому Кодексом та за мінімальними ставками та без застосування відповідних коефіцієнтів.</w:t>
      </w:r>
      <w:r w:rsidR="00AB4C92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851713">
        <w:rPr>
          <w:rFonts w:eastAsia="Times New Roman" w:cs="Times New Roman"/>
          <w:sz w:val="24"/>
          <w:szCs w:val="24"/>
          <w:lang w:eastAsia="ru-RU"/>
        </w:rPr>
        <w:t>Н</w:t>
      </w:r>
      <w:r w:rsidR="00BD602B">
        <w:rPr>
          <w:rFonts w:eastAsia="Times New Roman" w:cs="Times New Roman"/>
          <w:sz w:val="24"/>
          <w:szCs w:val="24"/>
          <w:lang w:eastAsia="ru-RU"/>
        </w:rPr>
        <w:t>еприйняття рішення «</w:t>
      </w:r>
      <w:r w:rsidR="00BD602B" w:rsidRPr="00BD602B">
        <w:rPr>
          <w:rFonts w:eastAsia="Times New Roman" w:cs="Times New Roman"/>
          <w:bCs/>
          <w:sz w:val="24"/>
          <w:szCs w:val="24"/>
          <w:lang w:val="uk-UA" w:eastAsia="ru-RU"/>
        </w:rPr>
        <w:t>Про встановлення ставок і пільг із сплати земельного податку на 20</w:t>
      </w:r>
      <w:r w:rsidR="00AB4C92">
        <w:rPr>
          <w:rFonts w:eastAsia="Times New Roman" w:cs="Times New Roman"/>
          <w:bCs/>
          <w:sz w:val="24"/>
          <w:szCs w:val="24"/>
          <w:lang w:val="uk-UA" w:eastAsia="ru-RU"/>
        </w:rPr>
        <w:t xml:space="preserve">21 </w:t>
      </w:r>
      <w:r w:rsidR="00BD602B" w:rsidRPr="00BD602B">
        <w:rPr>
          <w:rFonts w:eastAsia="Times New Roman" w:cs="Times New Roman"/>
          <w:bCs/>
          <w:sz w:val="24"/>
          <w:szCs w:val="24"/>
          <w:lang w:val="uk-UA" w:eastAsia="ru-RU"/>
        </w:rPr>
        <w:t>рік</w:t>
      </w:r>
      <w:r w:rsidRPr="00851713">
        <w:rPr>
          <w:rFonts w:eastAsia="Times New Roman" w:cs="Times New Roman"/>
          <w:sz w:val="24"/>
          <w:szCs w:val="24"/>
          <w:lang w:eastAsia="ru-RU"/>
        </w:rPr>
        <w:t>» спричинить значні втрати дохідної частини бюджету об’єднаної громади.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4. Механізм розв'язання проблеми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Даним регуляторним актом передбачається встанови</w:t>
      </w:r>
      <w:r w:rsidR="00BD602B">
        <w:rPr>
          <w:rFonts w:eastAsia="Times New Roman" w:cs="Times New Roman"/>
          <w:sz w:val="24"/>
          <w:szCs w:val="24"/>
          <w:lang w:eastAsia="ru-RU"/>
        </w:rPr>
        <w:t xml:space="preserve">ти на території </w:t>
      </w:r>
      <w:r w:rsidR="00BD602B">
        <w:rPr>
          <w:rFonts w:eastAsia="Times New Roman" w:cs="Times New Roman"/>
          <w:sz w:val="24"/>
          <w:szCs w:val="24"/>
          <w:lang w:val="uk-UA" w:eastAsia="ru-RU"/>
        </w:rPr>
        <w:t xml:space="preserve">Роздольської </w:t>
      </w:r>
      <w:r w:rsidR="00BD602B">
        <w:rPr>
          <w:rFonts w:eastAsia="Times New Roman" w:cs="Times New Roman"/>
          <w:sz w:val="24"/>
          <w:szCs w:val="24"/>
          <w:lang w:eastAsia="ru-RU"/>
        </w:rPr>
        <w:t xml:space="preserve">сільської ради </w:t>
      </w:r>
      <w:r w:rsidR="00BD602B">
        <w:rPr>
          <w:rFonts w:eastAsia="Times New Roman" w:cs="Times New Roman"/>
          <w:sz w:val="24"/>
          <w:szCs w:val="24"/>
          <w:lang w:val="uk-UA" w:eastAsia="ru-RU"/>
        </w:rPr>
        <w:t xml:space="preserve">ставки та </w:t>
      </w:r>
      <w:proofErr w:type="gramStart"/>
      <w:r w:rsidR="00BD602B">
        <w:rPr>
          <w:rFonts w:eastAsia="Times New Roman" w:cs="Times New Roman"/>
          <w:sz w:val="24"/>
          <w:szCs w:val="24"/>
          <w:lang w:val="uk-UA" w:eastAsia="ru-RU"/>
        </w:rPr>
        <w:t>п</w:t>
      </w:r>
      <w:proofErr w:type="gramEnd"/>
      <w:r w:rsidR="00BD602B">
        <w:rPr>
          <w:rFonts w:eastAsia="Times New Roman" w:cs="Times New Roman"/>
          <w:sz w:val="24"/>
          <w:szCs w:val="24"/>
          <w:lang w:val="uk-UA" w:eastAsia="ru-RU"/>
        </w:rPr>
        <w:t xml:space="preserve">ільги із сплати земельного податку </w:t>
      </w:r>
      <w:r w:rsidRPr="00851713">
        <w:rPr>
          <w:rFonts w:eastAsia="Times New Roman" w:cs="Times New Roman"/>
          <w:sz w:val="24"/>
          <w:szCs w:val="24"/>
          <w:lang w:eastAsia="ru-RU"/>
        </w:rPr>
        <w:t xml:space="preserve"> та порядок сплати</w:t>
      </w:r>
      <w:r w:rsidR="00BD602B">
        <w:rPr>
          <w:rFonts w:eastAsia="Times New Roman" w:cs="Times New Roman"/>
          <w:sz w:val="24"/>
          <w:szCs w:val="24"/>
          <w:lang w:val="uk-UA" w:eastAsia="ru-RU"/>
        </w:rPr>
        <w:t xml:space="preserve"> податку</w:t>
      </w:r>
      <w:r w:rsidRPr="00851713">
        <w:rPr>
          <w:rFonts w:eastAsia="Times New Roman" w:cs="Times New Roman"/>
          <w:sz w:val="24"/>
          <w:szCs w:val="24"/>
          <w:lang w:eastAsia="ru-RU"/>
        </w:rPr>
        <w:t>.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lastRenderedPageBreak/>
        <w:t xml:space="preserve">Запропонований спосіб відповідає принципу державної регуляторної політики, а саме: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доц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ільність, адекватність, ефективність, збалансованість, передбачуваність, принципу прозорості та врахування громадської думки та пропозицій суб’єктів підприємницької діяльності.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5. Обґрунтування можливості досягнення встановлених цілей </w:t>
      </w:r>
      <w:proofErr w:type="gramStart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у</w:t>
      </w:r>
      <w:proofErr w:type="gramEnd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раз</w:t>
      </w:r>
      <w:proofErr w:type="gramEnd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і прийняття запропонованого регуляторного акта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       Прийняття цього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регуляторного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 xml:space="preserve"> акту забезпечить належне справляння місцевих податків та зборів.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       Відповідно до статті 73 Закону України «Про місцеве самоврядування в Україні»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ішення, прийняті органами місцевого самоврядування в межах наданих їм повноважень, є обов'язкові для виконання всіма розташованими на відповідній території органами виконавчої влади, об’єднаннями громадян, підприємствами, установами та організаціями, посадовими особами, а також громадянами.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      Можливість досягнення зазначених цілей обґрунтована тим, що запропоноване регулювання забезпечує прозорість дій органів місцевого самоврядування по встановленню чіткої процедури сплати місцевих податкі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 xml:space="preserve"> та зборів.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6. Аналіз вигод та витрат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 Очікувані вигоди та витрати через прийняття регуляторного акта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       Дія зазначеного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регуляторного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 xml:space="preserve"> акту поширюється на  фізичних осіб, юридичних осіб, органи місцевого самоврядування, територіально громаду.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       Для визначення очікуваних результатів прийняття запропонованого регуляторного акту, які виникають у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ізних груп суб’єктів, на яких поширюється дія цього акту, наведена таблиця аналізу вигод та витрат.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100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0"/>
        <w:gridCol w:w="3822"/>
        <w:gridCol w:w="3348"/>
      </w:tblGrid>
      <w:tr w:rsidR="00851713" w:rsidRPr="00851713" w:rsidTr="006A2D03">
        <w:trPr>
          <w:trHeight w:val="420"/>
          <w:tblCellSpacing w:w="15" w:type="dxa"/>
        </w:trPr>
        <w:tc>
          <w:tcPr>
            <w:tcW w:w="2835" w:type="dxa"/>
            <w:vAlign w:val="center"/>
            <w:hideMark/>
          </w:tcPr>
          <w:p w:rsidR="00851713" w:rsidRPr="00851713" w:rsidRDefault="00851713" w:rsidP="00D75E1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Сфера впливу</w:t>
            </w:r>
          </w:p>
        </w:tc>
        <w:tc>
          <w:tcPr>
            <w:tcW w:w="3792" w:type="dxa"/>
            <w:vAlign w:val="center"/>
            <w:hideMark/>
          </w:tcPr>
          <w:p w:rsidR="00851713" w:rsidRPr="00851713" w:rsidRDefault="00851713" w:rsidP="00D75E1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Вигоди</w:t>
            </w:r>
          </w:p>
        </w:tc>
        <w:tc>
          <w:tcPr>
            <w:tcW w:w="3303" w:type="dxa"/>
            <w:vAlign w:val="center"/>
            <w:hideMark/>
          </w:tcPr>
          <w:p w:rsidR="00851713" w:rsidRPr="00851713" w:rsidRDefault="00851713" w:rsidP="00D75E1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Витрати</w:t>
            </w:r>
          </w:p>
        </w:tc>
      </w:tr>
      <w:tr w:rsidR="00851713" w:rsidRPr="00851713" w:rsidTr="006A2D03">
        <w:trPr>
          <w:trHeight w:val="945"/>
          <w:tblCellSpacing w:w="15" w:type="dxa"/>
        </w:trPr>
        <w:tc>
          <w:tcPr>
            <w:tcW w:w="2835" w:type="dxa"/>
            <w:vAlign w:val="center"/>
            <w:hideMark/>
          </w:tcPr>
          <w:p w:rsidR="00851713" w:rsidRPr="00851713" w:rsidRDefault="00851713" w:rsidP="00D75E1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Для територіальної</w:t>
            </w:r>
          </w:p>
          <w:p w:rsidR="00851713" w:rsidRPr="00851713" w:rsidRDefault="00851713" w:rsidP="00D75E1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громади</w:t>
            </w:r>
          </w:p>
        </w:tc>
        <w:tc>
          <w:tcPr>
            <w:tcW w:w="3792" w:type="dxa"/>
            <w:vAlign w:val="center"/>
            <w:hideMark/>
          </w:tcPr>
          <w:p w:rsidR="00851713" w:rsidRPr="00851713" w:rsidRDefault="00851713" w:rsidP="00D75E18">
            <w:pPr>
              <w:spacing w:before="100" w:beforeAutospacing="1" w:after="100" w:afterAutospacing="1"/>
              <w:ind w:left="-6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Надходження до сільського бюджету, своєчасне фінансування бюджетної сфери, здійснення робіт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благоустрою</w:t>
            </w:r>
          </w:p>
        </w:tc>
        <w:tc>
          <w:tcPr>
            <w:tcW w:w="3303" w:type="dxa"/>
            <w:vAlign w:val="center"/>
            <w:hideMark/>
          </w:tcPr>
          <w:p w:rsidR="00851713" w:rsidRPr="00851713" w:rsidRDefault="00851713" w:rsidP="00D75E18">
            <w:pPr>
              <w:spacing w:before="100" w:beforeAutospacing="1" w:after="100" w:afterAutospacing="1"/>
              <w:ind w:left="-8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851713" w:rsidRPr="00851713" w:rsidTr="006A2D03">
        <w:trPr>
          <w:trHeight w:val="690"/>
          <w:tblCellSpacing w:w="15" w:type="dxa"/>
        </w:trPr>
        <w:tc>
          <w:tcPr>
            <w:tcW w:w="2835" w:type="dxa"/>
            <w:vAlign w:val="center"/>
            <w:hideMark/>
          </w:tcPr>
          <w:p w:rsidR="00851713" w:rsidRPr="00851713" w:rsidRDefault="00851713" w:rsidP="00D75E18">
            <w:pPr>
              <w:spacing w:before="100" w:beforeAutospacing="1" w:after="100" w:afterAutospacing="1"/>
              <w:ind w:left="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Органи місцевого самоврядування</w:t>
            </w:r>
          </w:p>
        </w:tc>
        <w:tc>
          <w:tcPr>
            <w:tcW w:w="3792" w:type="dxa"/>
            <w:vAlign w:val="center"/>
            <w:hideMark/>
          </w:tcPr>
          <w:p w:rsidR="00851713" w:rsidRPr="00851713" w:rsidRDefault="00851713" w:rsidP="00D75E18">
            <w:pPr>
              <w:spacing w:before="100" w:beforeAutospacing="1" w:after="100" w:afterAutospacing="1"/>
              <w:ind w:left="-6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Чітке встановлення ставок місцевих податкі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зборів;</w:t>
            </w:r>
          </w:p>
        </w:tc>
        <w:tc>
          <w:tcPr>
            <w:tcW w:w="3303" w:type="dxa"/>
            <w:vAlign w:val="center"/>
            <w:hideMark/>
          </w:tcPr>
          <w:p w:rsidR="00851713" w:rsidRPr="00851713" w:rsidRDefault="00851713" w:rsidP="00D75E18">
            <w:pPr>
              <w:spacing w:before="100" w:beforeAutospacing="1" w:after="100" w:afterAutospacing="1"/>
              <w:ind w:left="-8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Процедура розробки та прийняття регуляторного акта</w:t>
            </w:r>
          </w:p>
        </w:tc>
      </w:tr>
      <w:tr w:rsidR="00851713" w:rsidRPr="00851713" w:rsidTr="006A2D03">
        <w:trPr>
          <w:trHeight w:val="420"/>
          <w:tblCellSpacing w:w="15" w:type="dxa"/>
        </w:trPr>
        <w:tc>
          <w:tcPr>
            <w:tcW w:w="2835" w:type="dxa"/>
            <w:vAlign w:val="center"/>
            <w:hideMark/>
          </w:tcPr>
          <w:p w:rsidR="00851713" w:rsidRPr="00851713" w:rsidRDefault="00851713" w:rsidP="00D75E18">
            <w:pPr>
              <w:spacing w:before="100" w:beforeAutospacing="1" w:after="100" w:afterAutospacing="1"/>
              <w:ind w:left="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Фізичні та юридичні особи</w:t>
            </w:r>
          </w:p>
        </w:tc>
        <w:tc>
          <w:tcPr>
            <w:tcW w:w="3792" w:type="dxa"/>
            <w:vAlign w:val="center"/>
            <w:hideMark/>
          </w:tcPr>
          <w:p w:rsidR="00851713" w:rsidRPr="00851713" w:rsidRDefault="00851713" w:rsidP="00D75E18">
            <w:pPr>
              <w:spacing w:before="100" w:beforeAutospacing="1" w:after="100" w:afterAutospacing="1"/>
              <w:ind w:left="-6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Прозорість дій місцевих органів влади</w:t>
            </w:r>
          </w:p>
        </w:tc>
        <w:tc>
          <w:tcPr>
            <w:tcW w:w="3303" w:type="dxa"/>
            <w:vAlign w:val="center"/>
            <w:hideMark/>
          </w:tcPr>
          <w:p w:rsidR="00851713" w:rsidRPr="00851713" w:rsidRDefault="00851713" w:rsidP="00D75E18">
            <w:pPr>
              <w:spacing w:before="100" w:beforeAutospacing="1" w:after="100" w:afterAutospacing="1"/>
              <w:ind w:left="-8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Витрати, </w:t>
            </w:r>
            <w:proofErr w:type="gramStart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пов'язан</w:t>
            </w:r>
            <w:proofErr w:type="gramEnd"/>
            <w:r w:rsidRPr="00851713">
              <w:rPr>
                <w:rFonts w:eastAsia="Times New Roman" w:cs="Times New Roman"/>
                <w:sz w:val="24"/>
                <w:szCs w:val="24"/>
                <w:lang w:eastAsia="ru-RU"/>
              </w:rPr>
              <w:t>і зі сплатою податку</w:t>
            </w:r>
          </w:p>
        </w:tc>
      </w:tr>
    </w:tbl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7. Обґрунтування строку дії запропонованого </w:t>
      </w:r>
      <w:proofErr w:type="gramStart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регуляторного</w:t>
      </w:r>
      <w:proofErr w:type="gramEnd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акту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Зазначений проект нормативно-правового акту є загальнообов’язковим до застосування на території населених пунктів об’єднаної територіальної громади та має необмежений термін дії. В разі внесення змін до Податкового кодексу України в частині справляння місцевих податків та зборів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ідповідні зміни будуть внесені до цього регуляторного акту.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 xml:space="preserve">8. Показники результативності </w:t>
      </w:r>
      <w:proofErr w:type="gramStart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регуляторного</w:t>
      </w:r>
      <w:proofErr w:type="gramEnd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акту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Для визначення результативності цього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регуляторного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 xml:space="preserve"> акту пропонується встановити такі загальні показники: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- дин</w:t>
      </w:r>
      <w:r w:rsidR="0089024A">
        <w:rPr>
          <w:rFonts w:eastAsia="Times New Roman" w:cs="Times New Roman"/>
          <w:sz w:val="24"/>
          <w:szCs w:val="24"/>
          <w:lang w:eastAsia="ru-RU"/>
        </w:rPr>
        <w:t xml:space="preserve">аміка кількості платників </w:t>
      </w:r>
      <w:proofErr w:type="gramStart"/>
      <w:r w:rsidR="0071338C">
        <w:rPr>
          <w:rFonts w:eastAsia="Times New Roman" w:cs="Times New Roman"/>
          <w:sz w:val="24"/>
          <w:szCs w:val="24"/>
          <w:lang w:val="uk-UA" w:eastAsia="ru-RU"/>
        </w:rPr>
        <w:t>земельного</w:t>
      </w:r>
      <w:proofErr w:type="gramEnd"/>
      <w:r w:rsidR="0071338C">
        <w:rPr>
          <w:rFonts w:eastAsia="Times New Roman" w:cs="Times New Roman"/>
          <w:sz w:val="24"/>
          <w:szCs w:val="24"/>
          <w:lang w:val="uk-UA" w:eastAsia="ru-RU"/>
        </w:rPr>
        <w:t xml:space="preserve"> податку</w:t>
      </w:r>
      <w:r w:rsidRPr="00851713">
        <w:rPr>
          <w:rFonts w:eastAsia="Times New Roman" w:cs="Times New Roman"/>
          <w:sz w:val="24"/>
          <w:szCs w:val="24"/>
          <w:lang w:eastAsia="ru-RU"/>
        </w:rPr>
        <w:t>;- обсяги надходжень відповідних місцевих податків та зборів.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9. Заходи, за допомогою яких буде здійснюватися відстеження результативності </w:t>
      </w:r>
      <w:proofErr w:type="gramStart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>регуляторного</w:t>
      </w:r>
      <w:proofErr w:type="gramEnd"/>
      <w:r w:rsidRPr="0085171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акту: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Ц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ільова група: фізичні та юридичні особи – плат</w:t>
      </w:r>
      <w:r w:rsidR="0089024A">
        <w:rPr>
          <w:rFonts w:eastAsia="Times New Roman" w:cs="Times New Roman"/>
          <w:sz w:val="24"/>
          <w:szCs w:val="24"/>
          <w:lang w:eastAsia="ru-RU"/>
        </w:rPr>
        <w:t xml:space="preserve">ники </w:t>
      </w:r>
      <w:r w:rsidR="0089024A">
        <w:rPr>
          <w:rFonts w:eastAsia="Times New Roman" w:cs="Times New Roman"/>
          <w:sz w:val="24"/>
          <w:szCs w:val="24"/>
          <w:lang w:val="uk-UA" w:eastAsia="ru-RU"/>
        </w:rPr>
        <w:t xml:space="preserve">земельного податку </w:t>
      </w:r>
      <w:r w:rsidRPr="00851713">
        <w:rPr>
          <w:rFonts w:eastAsia="Times New Roman" w:cs="Times New Roman"/>
          <w:sz w:val="24"/>
          <w:szCs w:val="24"/>
          <w:lang w:eastAsia="ru-RU"/>
        </w:rPr>
        <w:t>.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Базове відстеження результативності регуляторного акту буде проведено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ісля набрання чинності регуляторного акту.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 xml:space="preserve">Повторне відстеження результативності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ішення сільської ради буде здійснено через рік після набрання  ним чинності.</w:t>
      </w:r>
    </w:p>
    <w:p w:rsidR="00851713" w:rsidRPr="00851713" w:rsidRDefault="00851713" w:rsidP="0071338C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Відстеження результативності здійснюватимуться на осн</w:t>
      </w:r>
      <w:r w:rsidR="00E3796D">
        <w:rPr>
          <w:rFonts w:eastAsia="Times New Roman" w:cs="Times New Roman"/>
          <w:sz w:val="24"/>
          <w:szCs w:val="24"/>
          <w:lang w:eastAsia="ru-RU"/>
        </w:rPr>
        <w:t xml:space="preserve">ові офіційних даних </w:t>
      </w:r>
      <w:r w:rsidR="00EE1B5A">
        <w:rPr>
          <w:rFonts w:eastAsia="Times New Roman" w:cs="Times New Roman"/>
          <w:sz w:val="24"/>
          <w:szCs w:val="24"/>
          <w:lang w:val="uk-UA" w:eastAsia="ru-RU"/>
        </w:rPr>
        <w:t xml:space="preserve">Токмацької </w:t>
      </w:r>
      <w:r w:rsidR="0089024A">
        <w:rPr>
          <w:rFonts w:eastAsia="Times New Roman" w:cs="Times New Roman"/>
          <w:sz w:val="24"/>
          <w:szCs w:val="24"/>
          <w:lang w:eastAsia="ru-RU"/>
        </w:rPr>
        <w:t xml:space="preserve">ОДПІ ГУ ДФС у </w:t>
      </w:r>
      <w:r w:rsidR="0089024A">
        <w:rPr>
          <w:rFonts w:eastAsia="Times New Roman" w:cs="Times New Roman"/>
          <w:sz w:val="24"/>
          <w:szCs w:val="24"/>
          <w:lang w:val="uk-UA" w:eastAsia="ru-RU"/>
        </w:rPr>
        <w:t>Запорізькій</w:t>
      </w:r>
      <w:r w:rsidRPr="00851713">
        <w:rPr>
          <w:rFonts w:eastAsia="Times New Roman" w:cs="Times New Roman"/>
          <w:sz w:val="24"/>
          <w:szCs w:val="24"/>
          <w:lang w:eastAsia="ru-RU"/>
        </w:rPr>
        <w:t xml:space="preserve"> області, відділу бухгалтерського </w:t>
      </w:r>
      <w:proofErr w:type="gramStart"/>
      <w:r w:rsidRPr="00851713">
        <w:rPr>
          <w:rFonts w:eastAsia="Times New Roman" w:cs="Times New Roman"/>
          <w:sz w:val="24"/>
          <w:szCs w:val="24"/>
          <w:lang w:eastAsia="ru-RU"/>
        </w:rPr>
        <w:t>обл</w:t>
      </w:r>
      <w:proofErr w:type="gramEnd"/>
      <w:r w:rsidRPr="00851713">
        <w:rPr>
          <w:rFonts w:eastAsia="Times New Roman" w:cs="Times New Roman"/>
          <w:sz w:val="24"/>
          <w:szCs w:val="24"/>
          <w:lang w:eastAsia="ru-RU"/>
        </w:rPr>
        <w:t>іку та фінан</w:t>
      </w:r>
      <w:r w:rsidR="0089024A">
        <w:rPr>
          <w:rFonts w:eastAsia="Times New Roman" w:cs="Times New Roman"/>
          <w:sz w:val="24"/>
          <w:szCs w:val="24"/>
          <w:lang w:eastAsia="ru-RU"/>
        </w:rPr>
        <w:t>сової звітності  </w:t>
      </w:r>
      <w:r w:rsidR="0089024A">
        <w:rPr>
          <w:rFonts w:eastAsia="Times New Roman" w:cs="Times New Roman"/>
          <w:sz w:val="24"/>
          <w:szCs w:val="24"/>
          <w:lang w:val="uk-UA" w:eastAsia="ru-RU"/>
        </w:rPr>
        <w:t>Роздольської</w:t>
      </w:r>
      <w:r w:rsidRPr="00851713">
        <w:rPr>
          <w:rFonts w:eastAsia="Times New Roman" w:cs="Times New Roman"/>
          <w:sz w:val="24"/>
          <w:szCs w:val="24"/>
          <w:lang w:eastAsia="ru-RU"/>
        </w:rPr>
        <w:t xml:space="preserve">  сільської ради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.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</w:p>
    <w:p w:rsidR="00851713" w:rsidRPr="009F41DB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uk-UA" w:eastAsia="ru-RU"/>
        </w:rPr>
      </w:pPr>
      <w:r w:rsidRPr="009F41DB">
        <w:rPr>
          <w:rFonts w:eastAsia="Times New Roman" w:cs="Times New Roman"/>
          <w:sz w:val="24"/>
          <w:szCs w:val="24"/>
          <w:lang w:eastAsia="ru-RU"/>
        </w:rPr>
        <w:t>Сільський голова                                              </w:t>
      </w:r>
      <w:r w:rsidR="00AB4C92" w:rsidRPr="009F41DB">
        <w:rPr>
          <w:rFonts w:eastAsia="Times New Roman" w:cs="Times New Roman"/>
          <w:sz w:val="24"/>
          <w:szCs w:val="24"/>
          <w:lang w:eastAsia="ru-RU"/>
        </w:rPr>
        <w:t>                   </w:t>
      </w:r>
      <w:r w:rsidR="0071338C" w:rsidRPr="009F41DB">
        <w:rPr>
          <w:rFonts w:eastAsia="Times New Roman" w:cs="Times New Roman"/>
          <w:sz w:val="24"/>
          <w:szCs w:val="24"/>
          <w:lang w:val="uk-UA" w:eastAsia="ru-RU"/>
        </w:rPr>
        <w:t xml:space="preserve">           </w:t>
      </w:r>
      <w:r w:rsidR="0089024A" w:rsidRPr="009F41DB">
        <w:rPr>
          <w:rFonts w:eastAsia="Times New Roman" w:cs="Times New Roman"/>
          <w:sz w:val="24"/>
          <w:szCs w:val="24"/>
          <w:lang w:val="uk-UA" w:eastAsia="ru-RU"/>
        </w:rPr>
        <w:t>В</w:t>
      </w:r>
      <w:r w:rsidR="00AB4C92" w:rsidRPr="009F41DB">
        <w:rPr>
          <w:rFonts w:eastAsia="Times New Roman" w:cs="Times New Roman"/>
          <w:sz w:val="24"/>
          <w:szCs w:val="24"/>
          <w:lang w:val="uk-UA" w:eastAsia="ru-RU"/>
        </w:rPr>
        <w:t>алентина КОПЄЙЧЕНКО</w:t>
      </w:r>
      <w:r w:rsidR="0089024A" w:rsidRPr="009F41DB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</w:p>
    <w:p w:rsidR="00851713" w:rsidRPr="00851713" w:rsidRDefault="00851713" w:rsidP="0085171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51713">
        <w:rPr>
          <w:rFonts w:eastAsia="Times New Roman" w:cs="Times New Roman"/>
          <w:sz w:val="24"/>
          <w:szCs w:val="24"/>
          <w:lang w:eastAsia="ru-RU"/>
        </w:rPr>
        <w:t> </w:t>
      </w:r>
    </w:p>
    <w:p w:rsidR="001E4ED3" w:rsidRDefault="001E4ED3"/>
    <w:sectPr w:rsidR="001E4ED3" w:rsidSect="009F41D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23A06"/>
    <w:multiLevelType w:val="hybridMultilevel"/>
    <w:tmpl w:val="9522C304"/>
    <w:lvl w:ilvl="0" w:tplc="63646B58"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1DD0733D"/>
    <w:multiLevelType w:val="hybridMultilevel"/>
    <w:tmpl w:val="476C4BEE"/>
    <w:lvl w:ilvl="0" w:tplc="40C2E412">
      <w:numFmt w:val="bullet"/>
      <w:lvlText w:val="-"/>
      <w:lvlJc w:val="left"/>
      <w:pPr>
        <w:ind w:left="11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>
    <w:nsid w:val="33573C06"/>
    <w:multiLevelType w:val="hybridMultilevel"/>
    <w:tmpl w:val="0E3C7B8C"/>
    <w:lvl w:ilvl="0" w:tplc="B286448C"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63F45C83"/>
    <w:multiLevelType w:val="hybridMultilevel"/>
    <w:tmpl w:val="38D0D560"/>
    <w:lvl w:ilvl="0" w:tplc="AB985862"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851713"/>
    <w:rsid w:val="000268AB"/>
    <w:rsid w:val="000D3438"/>
    <w:rsid w:val="000E6F79"/>
    <w:rsid w:val="000F1491"/>
    <w:rsid w:val="00102648"/>
    <w:rsid w:val="00173EBC"/>
    <w:rsid w:val="00176C2B"/>
    <w:rsid w:val="00185F17"/>
    <w:rsid w:val="001929EF"/>
    <w:rsid w:val="001A01F3"/>
    <w:rsid w:val="001E4ED3"/>
    <w:rsid w:val="001F168E"/>
    <w:rsid w:val="00201747"/>
    <w:rsid w:val="0021385C"/>
    <w:rsid w:val="0023213E"/>
    <w:rsid w:val="00237D44"/>
    <w:rsid w:val="002555D4"/>
    <w:rsid w:val="002842D2"/>
    <w:rsid w:val="00297101"/>
    <w:rsid w:val="002D0378"/>
    <w:rsid w:val="00301CE2"/>
    <w:rsid w:val="00307D7D"/>
    <w:rsid w:val="0032772F"/>
    <w:rsid w:val="003762EE"/>
    <w:rsid w:val="003C2331"/>
    <w:rsid w:val="003E4DBD"/>
    <w:rsid w:val="00401EE1"/>
    <w:rsid w:val="00404965"/>
    <w:rsid w:val="00417471"/>
    <w:rsid w:val="00477A31"/>
    <w:rsid w:val="004A61E3"/>
    <w:rsid w:val="004C66AB"/>
    <w:rsid w:val="005175DF"/>
    <w:rsid w:val="00521558"/>
    <w:rsid w:val="00521A55"/>
    <w:rsid w:val="005273C7"/>
    <w:rsid w:val="00560F03"/>
    <w:rsid w:val="005F6730"/>
    <w:rsid w:val="0061161D"/>
    <w:rsid w:val="00622A14"/>
    <w:rsid w:val="00624D61"/>
    <w:rsid w:val="00687DB9"/>
    <w:rsid w:val="006A2D03"/>
    <w:rsid w:val="006C4997"/>
    <w:rsid w:val="006F7CFB"/>
    <w:rsid w:val="00702847"/>
    <w:rsid w:val="007033ED"/>
    <w:rsid w:val="007036F5"/>
    <w:rsid w:val="0071338C"/>
    <w:rsid w:val="0072797B"/>
    <w:rsid w:val="0075789F"/>
    <w:rsid w:val="007758B3"/>
    <w:rsid w:val="00810082"/>
    <w:rsid w:val="0083702E"/>
    <w:rsid w:val="00847503"/>
    <w:rsid w:val="00851713"/>
    <w:rsid w:val="00872935"/>
    <w:rsid w:val="0089024A"/>
    <w:rsid w:val="00941B64"/>
    <w:rsid w:val="009B7053"/>
    <w:rsid w:val="009F41DB"/>
    <w:rsid w:val="009F4C28"/>
    <w:rsid w:val="00A1471E"/>
    <w:rsid w:val="00A54174"/>
    <w:rsid w:val="00AB4C92"/>
    <w:rsid w:val="00AF161C"/>
    <w:rsid w:val="00B61E68"/>
    <w:rsid w:val="00BD602B"/>
    <w:rsid w:val="00C03440"/>
    <w:rsid w:val="00C60E54"/>
    <w:rsid w:val="00C81A12"/>
    <w:rsid w:val="00C86EDA"/>
    <w:rsid w:val="00D04759"/>
    <w:rsid w:val="00D12F4E"/>
    <w:rsid w:val="00D75E18"/>
    <w:rsid w:val="00DB1D7E"/>
    <w:rsid w:val="00DC3454"/>
    <w:rsid w:val="00E3796D"/>
    <w:rsid w:val="00E65EBF"/>
    <w:rsid w:val="00E72FC3"/>
    <w:rsid w:val="00E85649"/>
    <w:rsid w:val="00E964D6"/>
    <w:rsid w:val="00ED28DA"/>
    <w:rsid w:val="00EE1B5A"/>
    <w:rsid w:val="00F32656"/>
    <w:rsid w:val="00FB0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79"/>
  </w:style>
  <w:style w:type="paragraph" w:styleId="1">
    <w:name w:val="heading 1"/>
    <w:basedOn w:val="a"/>
    <w:link w:val="10"/>
    <w:uiPriority w:val="9"/>
    <w:qFormat/>
    <w:rsid w:val="0085171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71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5171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51713"/>
    <w:rPr>
      <w:i/>
      <w:iCs/>
    </w:rPr>
  </w:style>
  <w:style w:type="paragraph" w:styleId="a5">
    <w:name w:val="List Paragraph"/>
    <w:basedOn w:val="a"/>
    <w:uiPriority w:val="34"/>
    <w:qFormat/>
    <w:rsid w:val="00AF161C"/>
    <w:pPr>
      <w:ind w:left="720"/>
      <w:contextualSpacing/>
    </w:pPr>
  </w:style>
  <w:style w:type="character" w:customStyle="1" w:styleId="2">
    <w:name w:val="Основной текст (2)_"/>
    <w:basedOn w:val="a0"/>
    <w:link w:val="21"/>
    <w:rsid w:val="002842D2"/>
    <w:rPr>
      <w:szCs w:val="28"/>
      <w:shd w:val="clear" w:color="auto" w:fill="FFFFFF"/>
    </w:rPr>
  </w:style>
  <w:style w:type="character" w:customStyle="1" w:styleId="212pt2">
    <w:name w:val="Основной текст (2) + 12 pt2"/>
    <w:basedOn w:val="2"/>
    <w:rsid w:val="002842D2"/>
    <w:rPr>
      <w:sz w:val="24"/>
      <w:szCs w:val="24"/>
    </w:rPr>
  </w:style>
  <w:style w:type="paragraph" w:customStyle="1" w:styleId="21">
    <w:name w:val="Основной текст (2)1"/>
    <w:basedOn w:val="a"/>
    <w:link w:val="2"/>
    <w:rsid w:val="002842D2"/>
    <w:pPr>
      <w:widowControl w:val="0"/>
      <w:shd w:val="clear" w:color="auto" w:fill="FFFFFF"/>
      <w:spacing w:before="600" w:after="300" w:line="240" w:lineRule="atLeast"/>
      <w:ind w:hanging="500"/>
    </w:pPr>
    <w:rPr>
      <w:szCs w:val="28"/>
    </w:rPr>
  </w:style>
  <w:style w:type="character" w:customStyle="1" w:styleId="20">
    <w:name w:val="Колонтитул (2)_"/>
    <w:basedOn w:val="a0"/>
    <w:link w:val="22"/>
    <w:rsid w:val="002842D2"/>
    <w:rPr>
      <w:sz w:val="22"/>
      <w:shd w:val="clear" w:color="auto" w:fill="FFFFFF"/>
    </w:rPr>
  </w:style>
  <w:style w:type="paragraph" w:customStyle="1" w:styleId="22">
    <w:name w:val="Колонтитул (2)"/>
    <w:basedOn w:val="a"/>
    <w:link w:val="20"/>
    <w:rsid w:val="002842D2"/>
    <w:pPr>
      <w:widowControl w:val="0"/>
      <w:shd w:val="clear" w:color="auto" w:fill="FFFFFF"/>
      <w:spacing w:after="0" w:line="240" w:lineRule="atLeast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18</Pages>
  <Words>4755</Words>
  <Characters>27107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Роздол</cp:lastModifiedBy>
  <cp:revision>40</cp:revision>
  <dcterms:created xsi:type="dcterms:W3CDTF">2018-05-29T05:51:00Z</dcterms:created>
  <dcterms:modified xsi:type="dcterms:W3CDTF">2020-04-21T10:52:00Z</dcterms:modified>
</cp:coreProperties>
</file>