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A2D" w:rsidRDefault="004D6A2D" w:rsidP="006D5B0F">
      <w:pPr>
        <w:tabs>
          <w:tab w:val="left" w:pos="307"/>
        </w:tabs>
        <w:spacing w:after="0" w:line="240" w:lineRule="auto"/>
        <w:jc w:val="center"/>
        <w:rPr>
          <w:rFonts w:ascii="Times New Roman" w:hAnsi="Times New Roman" w:cs="Times New Roman"/>
          <w:b/>
          <w:color w:val="2F2F2F"/>
          <w:sz w:val="32"/>
          <w:szCs w:val="32"/>
        </w:rPr>
      </w:pPr>
      <w:bookmarkStart w:id="0" w:name="_GoBack"/>
      <w:bookmarkEnd w:id="0"/>
      <w:r w:rsidRPr="006D5B0F">
        <w:rPr>
          <w:rFonts w:ascii="Times New Roman" w:hAnsi="Times New Roman" w:cs="Times New Roman"/>
          <w:b/>
          <w:color w:val="2F2F2F"/>
          <w:sz w:val="32"/>
          <w:szCs w:val="32"/>
        </w:rPr>
        <w:t xml:space="preserve">Закон України від 30.11.2021  №1914-XI  </w:t>
      </w:r>
    </w:p>
    <w:p w:rsidR="004D6A2D" w:rsidRDefault="004D6A2D" w:rsidP="006D5B0F">
      <w:pPr>
        <w:tabs>
          <w:tab w:val="left" w:pos="307"/>
        </w:tabs>
        <w:spacing w:after="0" w:line="240" w:lineRule="auto"/>
        <w:jc w:val="center"/>
        <w:rPr>
          <w:rFonts w:ascii="Times New Roman" w:hAnsi="Times New Roman" w:cs="Times New Roman"/>
          <w:b/>
          <w:color w:val="2F2F2F"/>
          <w:sz w:val="32"/>
          <w:szCs w:val="32"/>
        </w:rPr>
      </w:pPr>
      <w:r w:rsidRPr="006D5B0F">
        <w:rPr>
          <w:rFonts w:ascii="Times New Roman" w:hAnsi="Times New Roman" w:cs="Times New Roman"/>
          <w:b/>
          <w:color w:val="2F2F2F"/>
          <w:sz w:val="32"/>
          <w:szCs w:val="32"/>
        </w:rPr>
        <w:t xml:space="preserve">«Про внесення змін до Податкового кодексу України та деяких законодавчих актів України щодо забезпечення збалансованості бюджетних надходжень» </w:t>
      </w:r>
    </w:p>
    <w:p w:rsidR="004D6A2D" w:rsidRPr="00316C3E" w:rsidRDefault="004D6A2D" w:rsidP="006D5B0F">
      <w:pPr>
        <w:tabs>
          <w:tab w:val="left" w:pos="307"/>
        </w:tabs>
        <w:spacing w:after="0" w:line="240" w:lineRule="auto"/>
        <w:jc w:val="center"/>
        <w:rPr>
          <w:rFonts w:ascii="Times New Roman" w:hAnsi="Times New Roman" w:cs="Times New Roman"/>
          <w:b/>
          <w:color w:val="2F2F2F"/>
          <w:sz w:val="28"/>
          <w:szCs w:val="28"/>
        </w:rPr>
      </w:pPr>
      <w:r w:rsidRPr="00316C3E">
        <w:rPr>
          <w:rFonts w:ascii="Times New Roman" w:hAnsi="Times New Roman" w:cs="Times New Roman"/>
          <w:b/>
          <w:color w:val="2F2F2F"/>
          <w:sz w:val="28"/>
          <w:szCs w:val="28"/>
        </w:rPr>
        <w:t>(офіційно оприлюднено в газеті «Голос Україні» від 21 грудня 2021 року №244)</w:t>
      </w:r>
    </w:p>
    <w:p w:rsidR="004D6A2D" w:rsidRDefault="004D6A2D" w:rsidP="00A02F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gridCol w:w="5637"/>
      </w:tblGrid>
      <w:tr w:rsidR="004D6A2D" w:rsidTr="0020280B">
        <w:tc>
          <w:tcPr>
            <w:tcW w:w="15526" w:type="dxa"/>
            <w:gridSpan w:val="2"/>
          </w:tcPr>
          <w:p w:rsidR="004D6A2D" w:rsidRPr="0020280B" w:rsidRDefault="004D6A2D" w:rsidP="0020280B">
            <w:pPr>
              <w:spacing w:after="0" w:line="240" w:lineRule="auto"/>
              <w:jc w:val="center"/>
              <w:rPr>
                <w:rFonts w:ascii="Times New Roman" w:hAnsi="Times New Roman" w:cs="Times New Roman"/>
                <w:b/>
                <w:sz w:val="32"/>
                <w:szCs w:val="32"/>
                <w:lang w:eastAsia="en-US"/>
              </w:rPr>
            </w:pPr>
          </w:p>
          <w:p w:rsidR="004D6A2D" w:rsidRPr="0020280B" w:rsidRDefault="004D6A2D" w:rsidP="0020280B">
            <w:pPr>
              <w:spacing w:after="0" w:line="240" w:lineRule="auto"/>
              <w:jc w:val="center"/>
              <w:rPr>
                <w:rFonts w:ascii="Times New Roman" w:hAnsi="Times New Roman" w:cs="Times New Roman"/>
                <w:b/>
                <w:sz w:val="32"/>
                <w:szCs w:val="32"/>
                <w:lang w:eastAsia="en-US"/>
              </w:rPr>
            </w:pPr>
            <w:r w:rsidRPr="0020280B">
              <w:rPr>
                <w:rFonts w:ascii="Times New Roman" w:hAnsi="Times New Roman" w:cs="Times New Roman"/>
                <w:b/>
                <w:sz w:val="32"/>
                <w:szCs w:val="32"/>
                <w:lang w:eastAsia="en-US"/>
              </w:rPr>
              <w:t>Особливості визначення загального мінімального податкового зобов’язання</w:t>
            </w:r>
          </w:p>
          <w:p w:rsidR="004D6A2D" w:rsidRPr="0020280B" w:rsidRDefault="004D6A2D" w:rsidP="0020280B">
            <w:pPr>
              <w:spacing w:after="0" w:line="240" w:lineRule="auto"/>
              <w:jc w:val="center"/>
              <w:rPr>
                <w:rFonts w:ascii="Cambria" w:hAnsi="Cambria" w:cs="Times New Roman"/>
                <w:b/>
                <w:sz w:val="32"/>
                <w:szCs w:val="32"/>
                <w:lang w:eastAsia="en-US"/>
              </w:rPr>
            </w:pPr>
          </w:p>
        </w:tc>
      </w:tr>
      <w:tr w:rsidR="004D6A2D" w:rsidTr="0020280B">
        <w:tc>
          <w:tcPr>
            <w:tcW w:w="9889" w:type="dxa"/>
          </w:tcPr>
          <w:p w:rsidR="004D6A2D" w:rsidRPr="0020280B" w:rsidRDefault="004D6A2D" w:rsidP="0020280B">
            <w:pPr>
              <w:spacing w:after="0" w:line="240" w:lineRule="auto"/>
              <w:jc w:val="center"/>
              <w:rPr>
                <w:rFonts w:ascii="Times New Roman" w:hAnsi="Times New Roman" w:cs="Times New Roman"/>
                <w:b/>
                <w:lang w:eastAsia="en-US"/>
              </w:rPr>
            </w:pPr>
            <w:r w:rsidRPr="0020280B">
              <w:rPr>
                <w:rFonts w:ascii="Times New Roman" w:hAnsi="Times New Roman" w:cs="Times New Roman"/>
                <w:b/>
                <w:sz w:val="28"/>
                <w:szCs w:val="28"/>
              </w:rPr>
              <w:t>редакція норм ПКУ із змінами,  внесеними Законом України від 30.11.2021  №1914-XI</w:t>
            </w:r>
          </w:p>
          <w:p w:rsidR="004D6A2D" w:rsidRPr="0020280B" w:rsidRDefault="004D6A2D" w:rsidP="0020280B">
            <w:pPr>
              <w:spacing w:after="0" w:line="240" w:lineRule="auto"/>
              <w:rPr>
                <w:rFonts w:ascii="Times New Roman" w:hAnsi="Times New Roman" w:cs="Times New Roman"/>
                <w:sz w:val="26"/>
                <w:szCs w:val="26"/>
                <w:lang w:eastAsia="en-US"/>
              </w:rPr>
            </w:pPr>
          </w:p>
        </w:tc>
        <w:tc>
          <w:tcPr>
            <w:tcW w:w="5637" w:type="dxa"/>
          </w:tcPr>
          <w:p w:rsidR="004D6A2D" w:rsidRPr="0020280B" w:rsidRDefault="004D6A2D" w:rsidP="0020280B">
            <w:pPr>
              <w:spacing w:after="0" w:line="240" w:lineRule="auto"/>
              <w:jc w:val="center"/>
              <w:rPr>
                <w:rFonts w:ascii="Times New Roman" w:hAnsi="Times New Roman" w:cs="Times New Roman"/>
                <w:b/>
                <w:sz w:val="28"/>
                <w:szCs w:val="28"/>
              </w:rPr>
            </w:pPr>
            <w:r w:rsidRPr="0020280B">
              <w:rPr>
                <w:rFonts w:ascii="Times New Roman" w:hAnsi="Times New Roman" w:cs="Times New Roman"/>
                <w:b/>
                <w:sz w:val="28"/>
                <w:szCs w:val="28"/>
              </w:rPr>
              <w:t>Набуття чинності</w:t>
            </w:r>
          </w:p>
          <w:p w:rsidR="004D6A2D" w:rsidRPr="0020280B" w:rsidRDefault="004D6A2D" w:rsidP="0020280B">
            <w:pPr>
              <w:spacing w:after="0" w:line="240" w:lineRule="auto"/>
              <w:rPr>
                <w:rFonts w:ascii="Cambria" w:hAnsi="Cambria" w:cs="Times New Roman"/>
                <w:lang w:eastAsia="en-US"/>
              </w:rPr>
            </w:pP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t>Термін - мінімальне податкове зобов’язання та загальне  мінімальне  податкове  зобов’язання</w:t>
            </w:r>
          </w:p>
        </w:tc>
      </w:tr>
      <w:tr w:rsidR="004D6A2D" w:rsidTr="0020280B">
        <w:tc>
          <w:tcPr>
            <w:tcW w:w="9889" w:type="dxa"/>
          </w:tcPr>
          <w:p w:rsidR="004D6A2D" w:rsidRPr="0020280B" w:rsidRDefault="004D6A2D" w:rsidP="0020280B">
            <w:pPr>
              <w:spacing w:after="12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14.1.114</w:t>
            </w:r>
            <w:r w:rsidRPr="0020280B">
              <w:rPr>
                <w:rFonts w:ascii="Times New Roman" w:hAnsi="Times New Roman" w:cs="Times New Roman"/>
                <w:sz w:val="26"/>
                <w:szCs w:val="26"/>
                <w:vertAlign w:val="superscript"/>
                <w:lang w:eastAsia="en-US"/>
              </w:rPr>
              <w:t>2</w:t>
            </w:r>
            <w:r w:rsidRPr="0020280B">
              <w:rPr>
                <w:rFonts w:ascii="Times New Roman" w:hAnsi="Times New Roman" w:cs="Times New Roman"/>
                <w:sz w:val="26"/>
                <w:szCs w:val="26"/>
                <w:lang w:eastAsia="en-US"/>
              </w:rPr>
              <w:t xml:space="preserve">. </w:t>
            </w:r>
            <w:r w:rsidRPr="0020280B">
              <w:rPr>
                <w:rFonts w:ascii="Times New Roman" w:hAnsi="Times New Roman" w:cs="Times New Roman"/>
                <w:b/>
                <w:sz w:val="26"/>
                <w:szCs w:val="26"/>
                <w:lang w:eastAsia="en-US"/>
              </w:rPr>
              <w:t>мінімальне податкове зобов’язання</w:t>
            </w:r>
            <w:r w:rsidRPr="0020280B">
              <w:rPr>
                <w:rFonts w:ascii="Times New Roman" w:hAnsi="Times New Roman" w:cs="Times New Roman"/>
                <w:sz w:val="26"/>
                <w:szCs w:val="26"/>
                <w:lang w:val="en-US" w:eastAsia="en-US"/>
              </w:rPr>
              <w:sym w:font="Symbol" w:char="F02D"/>
            </w:r>
            <w:r w:rsidRPr="0020280B">
              <w:rPr>
                <w:rFonts w:ascii="Times New Roman" w:hAnsi="Times New Roman" w:cs="Times New Roman"/>
                <w:sz w:val="26"/>
                <w:szCs w:val="26"/>
                <w:lang w:eastAsia="en-US"/>
              </w:rPr>
              <w:t xml:space="preserve"> мінімальна величина податкового зобов’язання із сплати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сільськогосподарських угідь, розрахована відповідно до цього Кодексу. Сума мінімальних податкових зобов’язань, визначених щодо кожної із земельних ділянок, право користування якими належить одній юридичній або фізичній особі, у тому числі фізичній особі </w:t>
            </w:r>
            <w:r w:rsidRPr="0020280B">
              <w:rPr>
                <w:rFonts w:ascii="Times New Roman" w:hAnsi="Times New Roman" w:cs="Times New Roman"/>
                <w:sz w:val="26"/>
                <w:szCs w:val="26"/>
                <w:lang w:val="en-US" w:eastAsia="en-US"/>
              </w:rPr>
              <w:sym w:font="Symbol" w:char="F02D"/>
            </w:r>
            <w:r w:rsidRPr="0020280B">
              <w:rPr>
                <w:rFonts w:ascii="Times New Roman" w:hAnsi="Times New Roman" w:cs="Times New Roman"/>
                <w:sz w:val="26"/>
                <w:szCs w:val="26"/>
                <w:lang w:eastAsia="en-US"/>
              </w:rPr>
              <w:t xml:space="preserve"> підприємцю, </w:t>
            </w:r>
            <w:r w:rsidRPr="0020280B">
              <w:rPr>
                <w:rFonts w:ascii="Times New Roman" w:hAnsi="Times New Roman" w:cs="Times New Roman"/>
                <w:b/>
                <w:sz w:val="26"/>
                <w:szCs w:val="26"/>
                <w:lang w:eastAsia="en-US"/>
              </w:rPr>
              <w:t>є загальним мінімальним податковим зобов’язанням</w:t>
            </w: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t>Як визначається мінімальне  податкового зобов’язання   (МПЗ) щодо земельної ділянки, нормативна грошова оцінка якої проведена</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38</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.1.1. Мінімальне податкове зобов’язання (МПЗ) щодо земельної ділянки, нормативна грошова оцінка якої проведена, обчислюється за формулою: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МПЗ = НГОд × К× М / 12,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де: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МПЗ </w:t>
            </w:r>
            <w:r w:rsidRPr="0020280B">
              <w:rPr>
                <w:rFonts w:ascii="Times New Roman" w:hAnsi="Times New Roman" w:cs="Times New Roman"/>
                <w:sz w:val="26"/>
                <w:szCs w:val="26"/>
                <w:lang w:val="en-US" w:eastAsia="en-US"/>
              </w:rPr>
              <w:sym w:font="Symbol" w:char="F02D"/>
            </w:r>
            <w:r w:rsidRPr="0020280B">
              <w:rPr>
                <w:rFonts w:ascii="Times New Roman" w:hAnsi="Times New Roman" w:cs="Times New Roman"/>
                <w:sz w:val="26"/>
                <w:szCs w:val="26"/>
                <w:lang w:eastAsia="en-US"/>
              </w:rPr>
              <w:t xml:space="preserve"> мінімальне податкове зобов’язання;</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НГОд</w:t>
            </w:r>
            <w:r w:rsidRPr="0020280B">
              <w:rPr>
                <w:rFonts w:ascii="Times New Roman" w:hAnsi="Times New Roman" w:cs="Times New Roman"/>
                <w:sz w:val="26"/>
                <w:szCs w:val="26"/>
                <w:lang w:val="en-US" w:eastAsia="en-US"/>
              </w:rPr>
              <w:sym w:font="Symbol" w:char="F02D"/>
            </w:r>
            <w:r w:rsidRPr="0020280B">
              <w:rPr>
                <w:rFonts w:ascii="Times New Roman" w:hAnsi="Times New Roman" w:cs="Times New Roman"/>
                <w:sz w:val="26"/>
                <w:szCs w:val="26"/>
                <w:lang w:eastAsia="en-US"/>
              </w:rPr>
              <w:t xml:space="preserve"> нормативна грошова оцінка відповідної земельної ділянки з урахуванням коефіцієнта індексації, визначеного відповідно до порядку, встановленого цим Кодексом для справляння плати за землю;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lastRenderedPageBreak/>
              <w:t xml:space="preserve">К </w:t>
            </w:r>
            <w:r w:rsidRPr="0020280B">
              <w:rPr>
                <w:rFonts w:ascii="Times New Roman" w:hAnsi="Times New Roman" w:cs="Times New Roman"/>
                <w:sz w:val="26"/>
                <w:szCs w:val="26"/>
                <w:lang w:val="en-US" w:eastAsia="en-US"/>
              </w:rPr>
              <w:sym w:font="Symbol" w:char="F02D"/>
            </w:r>
            <w:r w:rsidRPr="0020280B">
              <w:rPr>
                <w:rFonts w:ascii="Times New Roman" w:hAnsi="Times New Roman" w:cs="Times New Roman"/>
                <w:sz w:val="26"/>
                <w:szCs w:val="26"/>
                <w:lang w:eastAsia="en-US"/>
              </w:rPr>
              <w:t xml:space="preserve"> коефіцієнт, який становить 0,05;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М </w:t>
            </w:r>
            <w:r w:rsidRPr="0020280B">
              <w:rPr>
                <w:rFonts w:ascii="Times New Roman" w:hAnsi="Times New Roman" w:cs="Times New Roman"/>
                <w:sz w:val="26"/>
                <w:szCs w:val="26"/>
                <w:lang w:val="en-US" w:eastAsia="en-US"/>
              </w:rPr>
              <w:sym w:font="Symbol" w:char="F02D"/>
            </w:r>
            <w:r w:rsidRPr="0020280B">
              <w:rPr>
                <w:rFonts w:ascii="Times New Roman" w:hAnsi="Times New Roman" w:cs="Times New Roman"/>
                <w:sz w:val="26"/>
                <w:szCs w:val="26"/>
                <w:lang w:eastAsia="en-US"/>
              </w:rPr>
              <w:t xml:space="preserve"> кількість календарних місяців, протягом яких земельна ділянка перебуває у власності, оренді, користуванні на інших умовах (в тому числі на умовах емфітевзису) платника податків.</w:t>
            </w:r>
          </w:p>
        </w:tc>
        <w:tc>
          <w:tcPr>
            <w:tcW w:w="5637" w:type="dxa"/>
          </w:tcPr>
          <w:p w:rsidR="004D6A2D" w:rsidRPr="0020280B" w:rsidRDefault="004D6A2D" w:rsidP="0020280B">
            <w:pPr>
              <w:spacing w:after="0" w:line="240" w:lineRule="auto"/>
              <w:ind w:firstLine="175"/>
              <w:jc w:val="both"/>
              <w:rPr>
                <w:rFonts w:ascii="Times New Roman" w:hAnsi="Times New Roman" w:cs="Times New Roman"/>
                <w:sz w:val="28"/>
                <w:szCs w:val="28"/>
                <w:lang w:eastAsia="en-US"/>
              </w:rPr>
            </w:pPr>
            <w:r w:rsidRPr="0020280B">
              <w:rPr>
                <w:rFonts w:ascii="Times New Roman" w:hAnsi="Times New Roman" w:cs="Times New Roman"/>
                <w:sz w:val="28"/>
                <w:szCs w:val="28"/>
                <w:lang w:eastAsia="en-US"/>
              </w:rPr>
              <w:lastRenderedPageBreak/>
              <w:t>- Набирає чинності з 1 січня 2022 року, при цьому першим роком, за який визначається мінімальне податкове зобов’язання, є 2022 рік</w:t>
            </w:r>
          </w:p>
          <w:p w:rsidR="004D6A2D" w:rsidRPr="0020280B" w:rsidRDefault="004D6A2D" w:rsidP="0020280B">
            <w:pPr>
              <w:spacing w:after="120" w:line="240" w:lineRule="auto"/>
              <w:ind w:firstLine="175"/>
              <w:jc w:val="both"/>
              <w:rPr>
                <w:rFonts w:ascii="Times New Roman" w:hAnsi="Times New Roman" w:cs="Times New Roman"/>
                <w:sz w:val="28"/>
                <w:szCs w:val="28"/>
                <w:lang w:eastAsia="en-US"/>
              </w:rPr>
            </w:pPr>
            <w:r w:rsidRPr="0020280B">
              <w:rPr>
                <w:rFonts w:ascii="Times New Roman" w:hAnsi="Times New Roman" w:cs="Times New Roman"/>
                <w:sz w:val="28"/>
                <w:szCs w:val="28"/>
                <w:lang w:eastAsia="en-US"/>
              </w:rPr>
              <w:t>- Тимчасово, для розрахунку мінімального податкового зобов’язання за 2022 та 2023 податкові (звітні) роки коефіцієнт "К", визначений у підпунктах 38</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.1.1 і 38</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 xml:space="preserve">.1.2 </w:t>
            </w:r>
            <w:r w:rsidRPr="0020280B">
              <w:rPr>
                <w:rFonts w:ascii="Times New Roman" w:hAnsi="Times New Roman" w:cs="Times New Roman"/>
                <w:sz w:val="28"/>
                <w:szCs w:val="28"/>
                <w:lang w:eastAsia="en-US"/>
              </w:rPr>
              <w:lastRenderedPageBreak/>
              <w:t>статті 38</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 xml:space="preserve"> цього Кодексу, застосовується із значенням 0,04 (п.67 </w:t>
            </w:r>
            <w:r w:rsidRPr="0020280B">
              <w:rPr>
                <w:rFonts w:ascii="Times New Roman" w:hAnsi="Times New Roman" w:cs="Times New Roman"/>
                <w:bCs/>
                <w:sz w:val="28"/>
                <w:szCs w:val="28"/>
                <w:lang w:eastAsia="en-US"/>
              </w:rPr>
              <w:t xml:space="preserve"> підрозділ 10 ПКУ)</w:t>
            </w:r>
          </w:p>
          <w:p w:rsidR="004D6A2D" w:rsidRPr="0020280B" w:rsidRDefault="004D6A2D" w:rsidP="0020280B">
            <w:pPr>
              <w:spacing w:after="0" w:line="240" w:lineRule="auto"/>
              <w:rPr>
                <w:rFonts w:ascii="Cambria" w:hAnsi="Cambria" w:cs="Times New Roman"/>
                <w:lang w:eastAsia="en-US"/>
              </w:rPr>
            </w:pP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lastRenderedPageBreak/>
              <w:t>Як визначається мінімальне податкове зобов’язання (МПЗ) щодо земельної ділянки, нормативна грошова оцінка якої не проведена</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38</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.1.2. Мінімальне податкове зобов’язання (МПЗ) щодо земельної ділянки, нормативна грошова оцінка якої не проведена, обчислюється за формулою: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МПЗ = НГО × S × К× М / 12,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де: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МПЗ </w:t>
            </w:r>
            <w:r w:rsidRPr="0020280B">
              <w:rPr>
                <w:rFonts w:ascii="Times New Roman" w:hAnsi="Times New Roman" w:cs="Times New Roman"/>
                <w:sz w:val="26"/>
                <w:szCs w:val="26"/>
                <w:lang w:val="en-US" w:eastAsia="en-US"/>
              </w:rPr>
              <w:sym w:font="Symbol" w:char="F02D"/>
            </w:r>
            <w:r w:rsidRPr="0020280B">
              <w:rPr>
                <w:rFonts w:ascii="Times New Roman" w:hAnsi="Times New Roman" w:cs="Times New Roman"/>
                <w:sz w:val="26"/>
                <w:szCs w:val="26"/>
                <w:lang w:eastAsia="en-US"/>
              </w:rPr>
              <w:t xml:space="preserve"> мінімальне податкове зобов’язання;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НГО </w:t>
            </w:r>
            <w:r w:rsidRPr="0020280B">
              <w:rPr>
                <w:rFonts w:ascii="Times New Roman" w:hAnsi="Times New Roman" w:cs="Times New Roman"/>
                <w:sz w:val="26"/>
                <w:szCs w:val="26"/>
                <w:lang w:val="en-US" w:eastAsia="en-US"/>
              </w:rPr>
              <w:sym w:font="Symbol" w:char="F02D"/>
            </w:r>
            <w:r w:rsidRPr="0020280B">
              <w:rPr>
                <w:rFonts w:ascii="Times New Roman" w:hAnsi="Times New Roman" w:cs="Times New Roman"/>
                <w:sz w:val="26"/>
                <w:szCs w:val="26"/>
                <w:lang w:eastAsia="en-US"/>
              </w:rPr>
              <w:t xml:space="preserve"> нормативна грошова оцінка 1 гектара ріллі по Автономній Республіці Крим або по області з урахуванням коефіцієнта індексації, визначеного відповідно до порядку, встановленого цим Кодексом для справляння плати за землю;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S </w:t>
            </w:r>
            <w:r w:rsidRPr="0020280B">
              <w:rPr>
                <w:rFonts w:ascii="Times New Roman" w:hAnsi="Times New Roman" w:cs="Times New Roman"/>
                <w:sz w:val="26"/>
                <w:szCs w:val="26"/>
                <w:lang w:val="en-US" w:eastAsia="en-US"/>
              </w:rPr>
              <w:sym w:font="Symbol" w:char="F02D"/>
            </w:r>
            <w:r w:rsidRPr="0020280B">
              <w:rPr>
                <w:rFonts w:ascii="Times New Roman" w:hAnsi="Times New Roman" w:cs="Times New Roman"/>
                <w:sz w:val="26"/>
                <w:szCs w:val="26"/>
                <w:lang w:eastAsia="en-US"/>
              </w:rPr>
              <w:t xml:space="preserve"> площа земельної ділянки, гектарах;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К </w:t>
            </w:r>
            <w:r w:rsidRPr="0020280B">
              <w:rPr>
                <w:rFonts w:ascii="Times New Roman" w:hAnsi="Times New Roman" w:cs="Times New Roman"/>
                <w:sz w:val="26"/>
                <w:szCs w:val="26"/>
                <w:lang w:val="en-US" w:eastAsia="en-US"/>
              </w:rPr>
              <w:sym w:font="Symbol" w:char="F02D"/>
            </w:r>
            <w:r w:rsidRPr="0020280B">
              <w:rPr>
                <w:rFonts w:ascii="Times New Roman" w:hAnsi="Times New Roman" w:cs="Times New Roman"/>
                <w:sz w:val="26"/>
                <w:szCs w:val="26"/>
                <w:lang w:eastAsia="en-US"/>
              </w:rPr>
              <w:t xml:space="preserve"> коефіцієнт, що становить 0,05;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М </w:t>
            </w:r>
            <w:r w:rsidRPr="0020280B">
              <w:rPr>
                <w:rFonts w:ascii="Times New Roman" w:hAnsi="Times New Roman" w:cs="Times New Roman"/>
                <w:sz w:val="26"/>
                <w:szCs w:val="26"/>
                <w:lang w:val="en-US" w:eastAsia="en-US"/>
              </w:rPr>
              <w:sym w:font="Symbol" w:char="F02D"/>
            </w:r>
            <w:r w:rsidRPr="0020280B">
              <w:rPr>
                <w:rFonts w:ascii="Times New Roman" w:hAnsi="Times New Roman" w:cs="Times New Roman"/>
                <w:sz w:val="26"/>
                <w:szCs w:val="26"/>
                <w:lang w:eastAsia="en-US"/>
              </w:rPr>
              <w:t xml:space="preserve"> кількість календарних місяців, протягом яких земельна ділянка перебуває у власності, оренді, користуванні на інших умовах (в тому числі на умовах емфітевзису) платника податків. </w:t>
            </w:r>
          </w:p>
        </w:tc>
        <w:tc>
          <w:tcPr>
            <w:tcW w:w="5637" w:type="dxa"/>
          </w:tcPr>
          <w:p w:rsidR="004D6A2D" w:rsidRPr="0020280B" w:rsidRDefault="004D6A2D" w:rsidP="0020280B">
            <w:pPr>
              <w:spacing w:after="0" w:line="240" w:lineRule="auto"/>
              <w:ind w:firstLine="175"/>
              <w:jc w:val="both"/>
              <w:rPr>
                <w:rFonts w:ascii="Times New Roman" w:hAnsi="Times New Roman" w:cs="Times New Roman"/>
                <w:sz w:val="28"/>
                <w:szCs w:val="28"/>
                <w:lang w:eastAsia="en-US"/>
              </w:rPr>
            </w:pPr>
            <w:r w:rsidRPr="0020280B">
              <w:rPr>
                <w:rFonts w:ascii="Times New Roman" w:hAnsi="Times New Roman" w:cs="Times New Roman"/>
                <w:sz w:val="28"/>
                <w:szCs w:val="28"/>
                <w:lang w:eastAsia="en-US"/>
              </w:rPr>
              <w:t>- Набирає чинності з 1 січня 2022 року, при цьому першим роком, за який визначається мінімальне податкове зобов’язання, є 2022 рік</w:t>
            </w:r>
          </w:p>
          <w:p w:rsidR="004D6A2D" w:rsidRPr="0020280B" w:rsidRDefault="004D6A2D" w:rsidP="0020280B">
            <w:pPr>
              <w:spacing w:after="0" w:line="240" w:lineRule="auto"/>
              <w:ind w:firstLine="175"/>
              <w:jc w:val="both"/>
              <w:rPr>
                <w:rFonts w:ascii="Times New Roman" w:hAnsi="Times New Roman" w:cs="Times New Roman"/>
                <w:sz w:val="28"/>
                <w:szCs w:val="28"/>
                <w:lang w:eastAsia="en-US"/>
              </w:rPr>
            </w:pPr>
          </w:p>
          <w:p w:rsidR="004D6A2D" w:rsidRPr="0020280B" w:rsidRDefault="004D6A2D" w:rsidP="0020280B">
            <w:pPr>
              <w:spacing w:after="120" w:line="240" w:lineRule="auto"/>
              <w:ind w:firstLine="175"/>
              <w:jc w:val="both"/>
              <w:rPr>
                <w:rFonts w:ascii="Times New Roman" w:hAnsi="Times New Roman" w:cs="Times New Roman"/>
                <w:sz w:val="28"/>
                <w:szCs w:val="28"/>
                <w:lang w:eastAsia="en-US"/>
              </w:rPr>
            </w:pPr>
            <w:r w:rsidRPr="0020280B">
              <w:rPr>
                <w:rFonts w:ascii="Times New Roman" w:hAnsi="Times New Roman" w:cs="Times New Roman"/>
                <w:sz w:val="28"/>
                <w:szCs w:val="28"/>
                <w:lang w:eastAsia="en-US"/>
              </w:rPr>
              <w:t>- Тимчасово, для розрахунку мінімального податкового зобов’язання за 2022 та 2023 податкові (звітні) роки коефіцієнт "К", визначений у підпунктах 38</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.1.1 і 38</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.1.2 статті 38</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 xml:space="preserve"> цього Кодексу, застосовується із значенням 0,04 (п.67 </w:t>
            </w:r>
            <w:r w:rsidRPr="0020280B">
              <w:rPr>
                <w:rFonts w:ascii="Times New Roman" w:hAnsi="Times New Roman" w:cs="Times New Roman"/>
                <w:bCs/>
                <w:sz w:val="28"/>
                <w:szCs w:val="28"/>
                <w:lang w:eastAsia="en-US"/>
              </w:rPr>
              <w:t xml:space="preserve"> підрозділ 10 ПКУ)</w:t>
            </w:r>
          </w:p>
          <w:p w:rsidR="004D6A2D" w:rsidRPr="0020280B" w:rsidRDefault="004D6A2D" w:rsidP="0020280B">
            <w:pPr>
              <w:spacing w:after="0" w:line="240" w:lineRule="auto"/>
              <w:rPr>
                <w:rFonts w:ascii="Cambria" w:hAnsi="Cambria" w:cs="Times New Roman"/>
                <w:lang w:eastAsia="en-US"/>
              </w:rPr>
            </w:pP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t xml:space="preserve">Обчислення мінімального податкового зобов’язання платниками єдиного податку четвертої групи – фізичними особами </w:t>
            </w:r>
            <w:r w:rsidRPr="0020280B">
              <w:rPr>
                <w:rFonts w:ascii="Times New Roman" w:hAnsi="Times New Roman" w:cs="Times New Roman"/>
                <w:b/>
                <w:sz w:val="28"/>
                <w:szCs w:val="28"/>
                <w:lang w:val="en-US" w:eastAsia="en-US"/>
              </w:rPr>
              <w:sym w:font="Symbol" w:char="F02D"/>
            </w:r>
            <w:r w:rsidRPr="0020280B">
              <w:rPr>
                <w:rFonts w:ascii="Times New Roman" w:hAnsi="Times New Roman" w:cs="Times New Roman"/>
                <w:b/>
                <w:sz w:val="28"/>
                <w:szCs w:val="28"/>
                <w:lang w:eastAsia="en-US"/>
              </w:rPr>
              <w:t xml:space="preserve"> підприємцями, які провадять діяльність виключно в межах фермерського господарств</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38</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.1.3. При обчисленні мінімального податкового зобов’язання платниками єдиного податку четвертої групи – фізичними особами </w:t>
            </w:r>
            <w:r w:rsidRPr="0020280B">
              <w:rPr>
                <w:rFonts w:ascii="Times New Roman" w:hAnsi="Times New Roman" w:cs="Times New Roman"/>
                <w:sz w:val="26"/>
                <w:szCs w:val="26"/>
                <w:lang w:val="en-US" w:eastAsia="en-US"/>
              </w:rPr>
              <w:sym w:font="Symbol" w:char="F02D"/>
            </w:r>
            <w:r w:rsidRPr="0020280B">
              <w:rPr>
                <w:rFonts w:ascii="Times New Roman" w:hAnsi="Times New Roman" w:cs="Times New Roman"/>
                <w:sz w:val="26"/>
                <w:szCs w:val="26"/>
                <w:lang w:eastAsia="en-US"/>
              </w:rPr>
              <w:t xml:space="preserve"> підприємцями, які провадять діяльність виключно в межах фермерського господарства, зареєстрованого відповідно до Закону України "Про фермерське господарство", коефіцієнт "К", визначений у підпунктах 38</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.1.1 і 38</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.1.2 цього пункту, застосовується у половинному розмірі. </w:t>
            </w:r>
          </w:p>
        </w:tc>
        <w:tc>
          <w:tcPr>
            <w:tcW w:w="5637" w:type="dxa"/>
          </w:tcPr>
          <w:p w:rsidR="004D6A2D" w:rsidRPr="0020280B" w:rsidRDefault="004D6A2D" w:rsidP="0020280B">
            <w:pPr>
              <w:spacing w:after="0" w:line="240" w:lineRule="auto"/>
              <w:rPr>
                <w:rFonts w:ascii="Times New Roman" w:hAnsi="Times New Roman" w:cs="Times New Roman"/>
                <w:sz w:val="28"/>
                <w:szCs w:val="28"/>
                <w:lang w:eastAsia="en-US"/>
              </w:rPr>
            </w:pPr>
          </w:p>
          <w:p w:rsidR="004D6A2D" w:rsidRPr="0020280B" w:rsidRDefault="004D6A2D" w:rsidP="0020280B">
            <w:pPr>
              <w:spacing w:after="0" w:line="240" w:lineRule="auto"/>
              <w:ind w:firstLine="175"/>
              <w:jc w:val="both"/>
              <w:rPr>
                <w:rFonts w:ascii="Times New Roman" w:hAnsi="Times New Roman" w:cs="Times New Roman"/>
                <w:sz w:val="28"/>
                <w:szCs w:val="28"/>
                <w:lang w:eastAsia="en-US"/>
              </w:rPr>
            </w:pPr>
            <w:r w:rsidRPr="0020280B">
              <w:rPr>
                <w:rFonts w:ascii="Times New Roman" w:hAnsi="Times New Roman" w:cs="Times New Roman"/>
                <w:sz w:val="28"/>
                <w:szCs w:val="28"/>
                <w:lang w:eastAsia="en-US"/>
              </w:rPr>
              <w:t>- Набирає чинності з 1 січня 2022 року, при цьому першим роком, за який визначається мінімальне податкове зобов’язання, є 2022 рік</w:t>
            </w:r>
          </w:p>
          <w:p w:rsidR="004D6A2D" w:rsidRPr="0020280B" w:rsidRDefault="004D6A2D" w:rsidP="0020280B">
            <w:pPr>
              <w:spacing w:after="0" w:line="240" w:lineRule="auto"/>
              <w:ind w:firstLine="175"/>
              <w:jc w:val="both"/>
              <w:rPr>
                <w:rFonts w:ascii="Times New Roman" w:hAnsi="Times New Roman" w:cs="Times New Roman"/>
                <w:sz w:val="28"/>
                <w:szCs w:val="28"/>
                <w:lang w:eastAsia="en-US"/>
              </w:rPr>
            </w:pPr>
          </w:p>
          <w:p w:rsidR="004D6A2D" w:rsidRPr="0020280B" w:rsidRDefault="004D6A2D" w:rsidP="0020280B">
            <w:pPr>
              <w:spacing w:after="120" w:line="240" w:lineRule="auto"/>
              <w:ind w:firstLine="175"/>
              <w:jc w:val="both"/>
              <w:rPr>
                <w:rFonts w:ascii="Cambria" w:hAnsi="Cambria" w:cs="Times New Roman"/>
                <w:lang w:eastAsia="en-US"/>
              </w:rPr>
            </w:pP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t>За який період визначається мінімальне податкове зобов’язання</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38</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.1.4. Мінімальне податкове зобов’язання визначається за період володіння (користування) земельною ділянкою, який припадає на відповідний податковий (звітний) рік.</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lastRenderedPageBreak/>
              <w:t>Коли не визначається мінімальне податкове зобов’язання</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38</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.2. Мінімальне податкове зобов’язання не визначається для:</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земельних ділянок, що використовуються дачними (дачно-будівельними) та садівничими (городницькими) кооперативами (товариствами), а також набуті у власність/користування членами цих кооперативів (товариств) у результаті приватизації (купівлі/продажу, оренди) у межах земель, що належали цим кооперативам (товариствам) на праві колективної власності чи перебували у їх постійному користуванні;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земель запасу;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невитребуваних земельних часток (паїв), розпорядниками яких є органи місцевого самоврядування, крім таких земельних часток (паїв), переданих органами місцевого самоврядування в оренду;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земельних ділянок зон відчуження та безумовного (обов’язкового) відселення, що зазнали радіоактивного забруднення внаслідок Чорнобильської катастрофи;</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земельних ділянок, віднесених до сільськогосподарських угідь, які належать фізичним особам на праві власності та/або на праві користування та станом на 1 січня 2022 року знаходилися у межах населених пунктів</w:t>
            </w: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t>Як визначається мінімальне податкове зобов’язання у разі передачі земельних ділянок в оренду</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38</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.3. У разі передачі земельних ділянок в оренду (суборенду), емфітевзис або інше користування мінімальне податкове зобов’язання визначається для орендарів, користувачів на інших умовах таких земельних ділянок у порядку, визначеному цим Кодексом. </w:t>
            </w: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p w:rsidR="004D6A2D" w:rsidRPr="0020280B" w:rsidRDefault="004D6A2D" w:rsidP="0020280B">
            <w:pPr>
              <w:tabs>
                <w:tab w:val="left" w:pos="2020"/>
              </w:tabs>
              <w:spacing w:after="0" w:line="240" w:lineRule="auto"/>
              <w:rPr>
                <w:rFonts w:ascii="Cambria" w:hAnsi="Cambria" w:cs="Times New Roman"/>
                <w:lang w:eastAsia="en-US"/>
              </w:rPr>
            </w:pPr>
            <w:r w:rsidRPr="0020280B">
              <w:rPr>
                <w:rFonts w:ascii="Cambria" w:hAnsi="Cambria" w:cs="Times New Roman"/>
                <w:lang w:eastAsia="en-US"/>
              </w:rPr>
              <w:tab/>
            </w: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t>Як визначається мінімальне податкове зобов’язання у разі переходу права власності або права користування, у тому числі оренди, емфітевзису, суборенди</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38</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.4. У разі переходу права власності або права користування, у тому числі оренди, емфітевзису, суборенди, на земельну ділянку, віднесену до сільськогосподарських угідь, від одного власника, орендаря, користувача на інших умовах (в тому числі на умовах емфітевзису) до іншого власника, орендаря, користувача на інших умовах (в тому числі на умовах емфітевзису) протягом календарного року та за умови державної реєстрації такого права відповідно до законодавства, мінімальне податкове зобов’язання щодо такої земельної ділянки визначається для попереднього власника, орендаря, користувача на інших умовах (в тому числі на умовах емфітевзису) за період з 1 січня такого календарного року до початку місяця, в якому припинилося право власності на таку земельну ділянку, або в якому така земельна ділянка передана </w:t>
            </w:r>
            <w:r w:rsidRPr="0020280B">
              <w:rPr>
                <w:rFonts w:ascii="Times New Roman" w:hAnsi="Times New Roman" w:cs="Times New Roman"/>
                <w:sz w:val="26"/>
                <w:szCs w:val="26"/>
                <w:lang w:eastAsia="en-US"/>
              </w:rPr>
              <w:lastRenderedPageBreak/>
              <w:t xml:space="preserve">в користування (оренду, суборенду, емфітевзис), а для нового власника, орендаря або користувача на інших умовах (в тому числі на умовах емфітевзису) </w:t>
            </w:r>
            <w:r w:rsidRPr="0020280B">
              <w:rPr>
                <w:rFonts w:ascii="Times New Roman" w:hAnsi="Times New Roman" w:cs="Times New Roman"/>
                <w:sz w:val="26"/>
                <w:szCs w:val="26"/>
                <w:lang w:eastAsia="en-US"/>
              </w:rPr>
              <w:sym w:font="Symbol" w:char="F02D"/>
            </w:r>
            <w:r w:rsidRPr="0020280B">
              <w:rPr>
                <w:rFonts w:ascii="Times New Roman" w:hAnsi="Times New Roman" w:cs="Times New Roman"/>
                <w:sz w:val="26"/>
                <w:szCs w:val="26"/>
                <w:lang w:eastAsia="en-US"/>
              </w:rPr>
              <w:t xml:space="preserve"> починаючи з місяця, в якому він набув право власності або право користування, у тому числі оренди, емфітевзису, суборенди на таку земельну ділянку, та враховується у складі загального мінімального податкового зобов’язання кожного з таких власників або користувачів.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У разі відсутності державної реєстрації переходу права власності або права користування, у тому числі оренди, емфітевзису, суборенди, на земельну ділянку, віднесену до сільськогосподарських угідь, від одного власника, орендаря, користувача на інших умовах (в тому числі на умовах емфітевзису) до іншого власника, орендаря, користувача на інших умовах (в тому числі на умовах емфітевзису) протягом календарного року мінімальне податкове зобов’язання щодо такої земельної ділянки визначається для попереднього власника, орендаря, користувача на інших умовах (в тому числі на умовах емфітевзису) на загальних підставах за податковий (звітний) рік</w:t>
            </w:r>
          </w:p>
          <w:p w:rsidR="004D6A2D" w:rsidRPr="0020280B" w:rsidRDefault="004D6A2D" w:rsidP="0020280B">
            <w:pPr>
              <w:spacing w:after="0" w:line="240" w:lineRule="auto"/>
              <w:ind w:firstLine="284"/>
              <w:rPr>
                <w:rFonts w:ascii="Times New Roman" w:hAnsi="Times New Roman" w:cs="Times New Roman"/>
                <w:sz w:val="26"/>
                <w:szCs w:val="26"/>
                <w:lang w:eastAsia="en-US"/>
              </w:rPr>
            </w:pP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lastRenderedPageBreak/>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lastRenderedPageBreak/>
              <w:t>Розділ ХХ. ПЕРЕХІДНІ ПОЛОЖЕННЯ   підрозділ 10:</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38.14. На період здійснення заходів із забезпечення проведення операції Об’єднаних сил (ООС) щодо земельних ділянок, віднесених до сільськогосподарських угідь, що розташовані на тимчасово окупованій території та/або території населених пунктів на лінії зіткнення, мінімальне податкове зобов’язання не визначається</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p>
        </w:tc>
        <w:tc>
          <w:tcPr>
            <w:tcW w:w="5637" w:type="dxa"/>
          </w:tcPr>
          <w:p w:rsidR="004D6A2D" w:rsidRPr="0020280B" w:rsidRDefault="004D6A2D" w:rsidP="0020280B">
            <w:pPr>
              <w:spacing w:after="0" w:line="240" w:lineRule="auto"/>
              <w:rPr>
                <w:rFonts w:ascii="Times New Roman" w:hAnsi="Times New Roman" w:cs="Times New Roman"/>
                <w:sz w:val="28"/>
                <w:szCs w:val="28"/>
                <w:lang w:eastAsia="en-US"/>
              </w:rPr>
            </w:pPr>
            <w:r w:rsidRPr="0020280B">
              <w:rPr>
                <w:rFonts w:ascii="Times New Roman" w:hAnsi="Times New Roman" w:cs="Times New Roman"/>
                <w:sz w:val="28"/>
                <w:szCs w:val="28"/>
                <w:lang w:eastAsia="en-US"/>
              </w:rPr>
              <w:t>Набирає чинності з 1 січня 2022 року</w:t>
            </w: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32"/>
                <w:szCs w:val="32"/>
                <w:lang w:eastAsia="en-US"/>
              </w:rPr>
            </w:pPr>
            <w:r w:rsidRPr="0020280B">
              <w:rPr>
                <w:rFonts w:ascii="Times New Roman" w:hAnsi="Times New Roman" w:cs="Times New Roman"/>
                <w:b/>
                <w:sz w:val="32"/>
                <w:szCs w:val="32"/>
                <w:lang w:eastAsia="en-US"/>
              </w:rPr>
              <w:t>Особливості визначення загального мінімального податкового зобов’язання платників податку на доходи фізичних осіб</w:t>
            </w: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t>Для фізичних осіб загальне мінімальне податкове зобов’язання визначається контролюючим органом</w:t>
            </w:r>
          </w:p>
        </w:tc>
      </w:tr>
      <w:tr w:rsidR="004D6A2D" w:rsidTr="0020280B">
        <w:tc>
          <w:tcPr>
            <w:tcW w:w="9889" w:type="dxa"/>
          </w:tcPr>
          <w:p w:rsidR="004D6A2D" w:rsidRPr="0020280B" w:rsidRDefault="004D6A2D" w:rsidP="0020280B">
            <w:pPr>
              <w:spacing w:after="12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"170.14. Особливості визначення загального мінімального податкового зобов’язання платників податку </w:t>
            </w:r>
            <w:r w:rsidRPr="0020280B">
              <w:rPr>
                <w:rFonts w:ascii="Times New Roman" w:hAnsi="Times New Roman" w:cs="Times New Roman"/>
                <w:sz w:val="26"/>
                <w:szCs w:val="26"/>
                <w:lang w:val="en-US" w:eastAsia="en-US"/>
              </w:rPr>
              <w:sym w:font="Symbol" w:char="F02D"/>
            </w:r>
            <w:r w:rsidRPr="0020280B">
              <w:rPr>
                <w:rFonts w:ascii="Times New Roman" w:hAnsi="Times New Roman" w:cs="Times New Roman"/>
                <w:sz w:val="26"/>
                <w:szCs w:val="26"/>
                <w:lang w:eastAsia="en-US"/>
              </w:rPr>
              <w:t xml:space="preserve"> власників, орендарів, користувачів на інших умовах (в тому числі на умовах емфітевзису) земельних ділянок, віднесених до сільськогосподарських угідь. </w:t>
            </w:r>
          </w:p>
          <w:p w:rsidR="004D6A2D" w:rsidRPr="0020280B" w:rsidRDefault="004D6A2D" w:rsidP="0020280B">
            <w:pPr>
              <w:spacing w:after="12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170.14.1. Для платників податку </w:t>
            </w:r>
            <w:r w:rsidRPr="0020280B">
              <w:rPr>
                <w:rFonts w:ascii="Times New Roman" w:hAnsi="Times New Roman" w:cs="Times New Roman"/>
                <w:sz w:val="26"/>
                <w:szCs w:val="26"/>
                <w:lang w:val="en-US" w:eastAsia="en-US"/>
              </w:rPr>
              <w:sym w:font="Symbol" w:char="F02D"/>
            </w:r>
            <w:r w:rsidRPr="0020280B">
              <w:rPr>
                <w:rFonts w:ascii="Times New Roman" w:hAnsi="Times New Roman" w:cs="Times New Roman"/>
                <w:sz w:val="26"/>
                <w:szCs w:val="26"/>
                <w:lang w:eastAsia="en-US"/>
              </w:rPr>
              <w:t xml:space="preserve"> власників, орендарів, користувачів на інших умовах (в тому числі на умовах емфітевзису) земельних ділянок, віднесених до сільськогосподарських угідь, не переданих такими особами в оренду (суборенду), емфітевзис або інше користування на підставі договорів, укладених та зареєстрованих відповідно до законодавства, загальне мінімальне податкове зобов’язання визначається контролюючим органом. </w:t>
            </w:r>
          </w:p>
        </w:tc>
        <w:tc>
          <w:tcPr>
            <w:tcW w:w="5637" w:type="dxa"/>
          </w:tcPr>
          <w:p w:rsidR="004D6A2D" w:rsidRPr="0020280B" w:rsidRDefault="004D6A2D" w:rsidP="0020280B">
            <w:pPr>
              <w:spacing w:after="0" w:line="240" w:lineRule="auto"/>
              <w:jc w:val="both"/>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Times New Roman" w:hAnsi="Times New Roman" w:cs="Times New Roman"/>
                <w:sz w:val="28"/>
                <w:szCs w:val="28"/>
                <w:lang w:eastAsia="en-US"/>
              </w:rPr>
            </w:pPr>
            <w:r w:rsidRPr="0020280B">
              <w:rPr>
                <w:rFonts w:ascii="Times New Roman" w:hAnsi="Times New Roman" w:cs="Times New Roman"/>
                <w:b/>
                <w:sz w:val="28"/>
                <w:szCs w:val="28"/>
                <w:lang w:eastAsia="en-US"/>
              </w:rPr>
              <w:lastRenderedPageBreak/>
              <w:t>У разі передачі земельних ділянок в оренду (суборенду), їх розмір враховується при визначенні загального мінімального податкового зобов’язання орендарів</w:t>
            </w:r>
          </w:p>
        </w:tc>
      </w:tr>
      <w:tr w:rsidR="004D6A2D" w:rsidTr="0020280B">
        <w:tc>
          <w:tcPr>
            <w:tcW w:w="9889" w:type="dxa"/>
          </w:tcPr>
          <w:p w:rsidR="004D6A2D" w:rsidRPr="0020280B" w:rsidRDefault="004D6A2D" w:rsidP="0020280B">
            <w:pPr>
              <w:spacing w:after="12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170.14.2. У разі передачі таких земельних ділянок в оренду (суборенду), емфітевзис або інше користування на підставі договорів, укладених та зареєстрованих відповідно до законодавства, їх розмір враховується при визначенні загального мінімального податкового зобов’язання орендарів, користувачів на інших умовах (в тому числі на умовах емфітевзису) таких земельних ділянок у порядку, встановленому цим Кодексом. </w:t>
            </w:r>
          </w:p>
        </w:tc>
        <w:tc>
          <w:tcPr>
            <w:tcW w:w="5637" w:type="dxa"/>
          </w:tcPr>
          <w:p w:rsidR="004D6A2D" w:rsidRPr="0020280B" w:rsidRDefault="004D6A2D" w:rsidP="0020280B">
            <w:pPr>
              <w:spacing w:after="0" w:line="240" w:lineRule="auto"/>
              <w:jc w:val="both"/>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Times New Roman" w:hAnsi="Times New Roman" w:cs="Times New Roman"/>
                <w:sz w:val="28"/>
                <w:szCs w:val="28"/>
                <w:lang w:eastAsia="en-US"/>
              </w:rPr>
            </w:pPr>
            <w:r w:rsidRPr="0020280B">
              <w:rPr>
                <w:rFonts w:ascii="Times New Roman" w:hAnsi="Times New Roman" w:cs="Times New Roman"/>
                <w:b/>
                <w:sz w:val="28"/>
                <w:szCs w:val="28"/>
                <w:lang w:eastAsia="en-US"/>
              </w:rPr>
              <w:t>Податкове повідомлення-рішення разом з детальним розрахунком суми податку про сплату річного податкового зобов’язання з податку на доходи фізичних осіб надсилається платнику податку до 1 липня року, наступного за звітним</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170.14.3. Визначення загального мінімального податкового зобов’язання фізичним особам здійснюється контролюючими органами за податковою адресою таких осіб.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Мінімальне податкове зобов’язання обчислюється контролюючим органом на підставі даних Державного реєстру речових прав на нерухоме майно, Державного земельного кадастру та/або на підставі оригіналів чи належним чином засвідчених копій відповідних документів платника податків, зокрема документів, що підтверджують право власності/користування.</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При обчисленні мінімального податкового зобов’язання нормативна грошова оцінка земельних ділянок застосовується контролюючими органами з урахуванням вимог, встановлених пунктом 271.2 статті 271 цього Кодексу.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У разі державної реєстрації платника податку фізичною особою </w:t>
            </w:r>
            <w:r w:rsidRPr="0020280B">
              <w:rPr>
                <w:rFonts w:ascii="Times New Roman" w:hAnsi="Times New Roman" w:cs="Times New Roman"/>
                <w:sz w:val="26"/>
                <w:szCs w:val="26"/>
                <w:lang w:eastAsia="en-US"/>
              </w:rPr>
              <w:sym w:font="Symbol" w:char="F02D"/>
            </w:r>
            <w:r w:rsidRPr="0020280B">
              <w:rPr>
                <w:rFonts w:ascii="Times New Roman" w:hAnsi="Times New Roman" w:cs="Times New Roman"/>
                <w:sz w:val="26"/>
                <w:szCs w:val="26"/>
                <w:lang w:eastAsia="en-US"/>
              </w:rPr>
              <w:t xml:space="preserve"> підприємцем загальне мінімальне податкове зобов’язання за земельні ділянки, віднесені до сільськогосподарських угідь, які використовуються таким підприємцем для провадження господарського діяльності, розраховується таким платником у порядку, визначеному пунктом 177.14 статті 177 та </w:t>
            </w:r>
            <w:r w:rsidRPr="0020280B">
              <w:rPr>
                <w:rFonts w:ascii="Times New Roman" w:hAnsi="Times New Roman" w:cs="Times New Roman"/>
                <w:sz w:val="26"/>
                <w:szCs w:val="26"/>
                <w:lang w:eastAsia="en-US"/>
              </w:rPr>
              <w:br/>
              <w:t>статтею 297</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 цього Кодексу, з першого числа місяця, наступного за місяцем, у якому відбулася державна реєстрація фізичної особи </w:t>
            </w:r>
            <w:r w:rsidRPr="0020280B">
              <w:rPr>
                <w:rFonts w:ascii="Times New Roman" w:hAnsi="Times New Roman" w:cs="Times New Roman"/>
                <w:sz w:val="26"/>
                <w:szCs w:val="26"/>
                <w:lang w:eastAsia="en-US"/>
              </w:rPr>
              <w:sym w:font="Symbol" w:char="F02D"/>
            </w:r>
            <w:r w:rsidRPr="0020280B">
              <w:rPr>
                <w:rFonts w:ascii="Times New Roman" w:hAnsi="Times New Roman" w:cs="Times New Roman"/>
                <w:sz w:val="26"/>
                <w:szCs w:val="26"/>
                <w:lang w:eastAsia="en-US"/>
              </w:rPr>
              <w:t xml:space="preserve"> підприємця.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Податкове повідомлення-рішення разом з детальним розрахунком суми податку про сплату річного податкового зобов’язання з податку на доходи фізичних осіб, на суму позитивного значення різниці між сумою загального мінімального податкового зобов’язання та сумою сплачених протягом податкового (звітного) року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w:t>
            </w:r>
            <w:r w:rsidRPr="0020280B">
              <w:rPr>
                <w:rFonts w:ascii="Times New Roman" w:hAnsi="Times New Roman" w:cs="Times New Roman"/>
                <w:sz w:val="26"/>
                <w:szCs w:val="26"/>
                <w:lang w:eastAsia="en-US"/>
              </w:rPr>
              <w:lastRenderedPageBreak/>
              <w:t xml:space="preserve">сільськогосподарських угідь (далі у цьому пункті – загальна сума сплачених податків, зборів, платежів), надсилається (вручається) платнику податку у порядку, визначеному статтею 42 цього Кодексу, до 1 липня року, наступного за звітним.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Якщо контролюючий орган не надіслав (не вручив) таке податкове повідомлення-рішення разом з детальним розрахунком суми податку у зазначений строк, фізична особа звільняється від відповідальності, передбаченої цим Кодексом за несвоєчасну сплату річного податкового зобов’язання на суму позитивного значення різниці між сумою загального мінімального податкового зобов’язання та загальною сумою сплачених податків, зборів, платежів.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Таке річне податкове зобов’язання може бути нараховано за податкові (звітні) періоди (роки) в межах строків, визначених пунктом 102.1 статті 102 цього Кодексу.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Позитивне значення різниці між сумою загального мінімального податкового зобов’язання та загальною сумою сплачених податків, зборів, платежів є частиною зобов’язань з податку на доходи фізичних осіб.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Сума податку на доходи фізичних осіб у частині позитивного значення різниці між сумою загального мінімального податкового зобов’язання та загальною сумою сплачених податків, зборів, платежів розподіляється контролюючим органом пропорційно до питомої ваги площі кожної із земельних ділянок, віднесених до сільськогосподарських угідь, та сплачується (перераховується) до місцевих бюджетів за місцезнаходженням таких земельних ділянок. </w:t>
            </w:r>
          </w:p>
        </w:tc>
        <w:tc>
          <w:tcPr>
            <w:tcW w:w="5637" w:type="dxa"/>
          </w:tcPr>
          <w:p w:rsidR="004D6A2D" w:rsidRPr="0020280B" w:rsidRDefault="004D6A2D" w:rsidP="0020280B">
            <w:pPr>
              <w:spacing w:after="0" w:line="240" w:lineRule="auto"/>
              <w:jc w:val="both"/>
              <w:rPr>
                <w:rFonts w:ascii="Times New Roman" w:hAnsi="Times New Roman" w:cs="Times New Roman"/>
                <w:sz w:val="28"/>
                <w:szCs w:val="28"/>
                <w:lang w:eastAsia="en-US"/>
              </w:rPr>
            </w:pPr>
            <w:r w:rsidRPr="0020280B">
              <w:rPr>
                <w:rFonts w:ascii="Times New Roman" w:hAnsi="Times New Roman" w:cs="Times New Roman"/>
                <w:sz w:val="28"/>
                <w:szCs w:val="28"/>
                <w:lang w:eastAsia="en-US"/>
              </w:rPr>
              <w:lastRenderedPageBreak/>
              <w:t>Набирає чинності з 1 січня 2022 року, при цьому першим роком, за який визначається мінімальне податкове зобов’язання, є 2022 рік</w:t>
            </w:r>
          </w:p>
          <w:p w:rsidR="004D6A2D" w:rsidRPr="0020280B" w:rsidRDefault="004D6A2D" w:rsidP="0020280B">
            <w:pPr>
              <w:spacing w:after="0" w:line="240" w:lineRule="auto"/>
              <w:jc w:val="both"/>
              <w:rPr>
                <w:rFonts w:ascii="Times New Roman" w:hAnsi="Times New Roman" w:cs="Times New Roman"/>
                <w:sz w:val="28"/>
                <w:szCs w:val="28"/>
                <w:lang w:eastAsia="en-US"/>
              </w:rPr>
            </w:pPr>
          </w:p>
          <w:p w:rsidR="004D6A2D" w:rsidRPr="0020280B" w:rsidRDefault="004D6A2D" w:rsidP="0020280B">
            <w:pPr>
              <w:spacing w:after="0" w:line="240" w:lineRule="auto"/>
              <w:jc w:val="both"/>
              <w:rPr>
                <w:rFonts w:ascii="Cambria" w:hAnsi="Cambria" w:cs="Times New Roman"/>
                <w:lang w:eastAsia="en-US"/>
              </w:rPr>
            </w:pPr>
            <w:r w:rsidRPr="0020280B">
              <w:rPr>
                <w:rFonts w:ascii="Times New Roman" w:hAnsi="Times New Roman" w:cs="Times New Roman"/>
                <w:sz w:val="28"/>
                <w:szCs w:val="28"/>
                <w:lang w:eastAsia="en-US"/>
              </w:rPr>
              <w:t xml:space="preserve">Загальне мінімальне податкове  зобов’язання фізичним особам здійснюється контролюючими органами </w:t>
            </w:r>
            <w:r w:rsidRPr="0020280B">
              <w:rPr>
                <w:rFonts w:ascii="Times New Roman" w:hAnsi="Times New Roman" w:cs="Times New Roman"/>
                <w:b/>
                <w:sz w:val="28"/>
                <w:szCs w:val="28"/>
                <w:lang w:eastAsia="en-US"/>
              </w:rPr>
              <w:t>за податковою адресою таких осіб</w:t>
            </w:r>
          </w:p>
        </w:tc>
      </w:tr>
      <w:tr w:rsidR="004D6A2D" w:rsidTr="0020280B">
        <w:tc>
          <w:tcPr>
            <w:tcW w:w="9889" w:type="dxa"/>
          </w:tcPr>
          <w:p w:rsidR="004D6A2D" w:rsidRPr="0020280B" w:rsidRDefault="004D6A2D" w:rsidP="0020280B">
            <w:pPr>
              <w:spacing w:after="12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lastRenderedPageBreak/>
              <w:t xml:space="preserve">170.14.4. Сума податку на доходи фізичних осіб у частині позитивного значення такої різниці не враховується у загальній сумі сплачених податків, зборів, платежів у наступному податковому (звітному) році. </w:t>
            </w: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Times New Roman" w:hAnsi="Times New Roman" w:cs="Times New Roman"/>
                <w:sz w:val="28"/>
                <w:szCs w:val="28"/>
                <w:lang w:eastAsia="en-US"/>
              </w:rPr>
            </w:pPr>
            <w:r w:rsidRPr="0020280B">
              <w:rPr>
                <w:rFonts w:ascii="Times New Roman" w:hAnsi="Times New Roman" w:cs="Times New Roman"/>
                <w:b/>
                <w:sz w:val="28"/>
                <w:szCs w:val="28"/>
                <w:lang w:eastAsia="en-US"/>
              </w:rPr>
              <w:t>Які податки включаються до загальної суми сплачених протягом податкового (звітного) року податків</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170.14.5. До загальної суми сплачених протягом податкового (звітного) року податків, зборів, платежів платника податку включаються: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податок на доходи фізичних осіб та військовий збір з доходів від продажу власної сільськогосподарської продукції;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земельний податок за земельні ділянки, віднесені до сільськогосподарських угідь.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У сумі сплачених податків, зборів, платежів не враховуються помилково та/або надміру сплачені у податковому (звітному) році суми податків, зборів, платежів. </w:t>
            </w: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Times New Roman" w:hAnsi="Times New Roman" w:cs="Times New Roman"/>
                <w:sz w:val="28"/>
                <w:szCs w:val="28"/>
                <w:lang w:eastAsia="en-US"/>
              </w:rPr>
            </w:pPr>
            <w:r w:rsidRPr="0020280B">
              <w:rPr>
                <w:rFonts w:ascii="Times New Roman" w:hAnsi="Times New Roman" w:cs="Times New Roman"/>
                <w:b/>
                <w:sz w:val="28"/>
                <w:szCs w:val="28"/>
                <w:lang w:eastAsia="en-US"/>
              </w:rPr>
              <w:t>Платник податку зобов’язаний сплатити зазначену у податковому повідомленні-рішенні суму податку протягом 60 днів з дня вручення податкового повідомлення-рішення</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170.14.6. У разі згоди платника податку з визначеним контролюючим органом </w:t>
            </w:r>
            <w:r w:rsidRPr="0020280B">
              <w:rPr>
                <w:rFonts w:ascii="Times New Roman" w:hAnsi="Times New Roman" w:cs="Times New Roman"/>
                <w:sz w:val="26"/>
                <w:szCs w:val="26"/>
                <w:lang w:eastAsia="en-US"/>
              </w:rPr>
              <w:lastRenderedPageBreak/>
              <w:t xml:space="preserve">загальним мінімальним податковим зобов’язанням та/або розрахованою сумою річного податкового зобов’язання з податку на доходи фізичних осіб такий платник податку зобов’язаний сплатити зазначену у відповідному податковому повідомленні-рішенні суму податку протягом 60 днів з дня вручення податкового повідомлення-рішення.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У разі незгоди платника податку з визначеним контролюючим органом загальним мінімальним податковим зобов’язанням та/або розрахованою у відповідному податковому повідомленні-рішенні сумою річного податкового зобов’язання з податку на доходи фізичних осіб такий платник податку має право у порядку, встановленому статтею 42 цього Кодексу, протягом 30 днів з дня вручення податкового повідомлення-рішення звернутися до контролюючого органу для проведення звірки даних, використаних для розрахунку суми податку на доходи фізичних осіб, з наданням підтвердних документів, зокрема щодо: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земельних ділянок, що знаходяться у платника податку у власності та/або постійному користуванні або в оренді (суборенді, емфітевзисі), їх нормативної грошової оцінки та площі;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суми доходу, отриманого від реалізації власної сільськогосподарської продукції;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суми сплачених податків, зборів, платежів.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У разі подання платником податку до контролюючого органу правовстановлюючих документів на земельні ділянки або договорів про передачу в оренду, емфітевзис або інше користування земельних ділянок, укладених та зареєстрованих відповідно до законодавства, відомості про які відсутні у базах даних інформаційних систем центрального органу виконавчої влади, що реалізує державну податкову політику, обчислення мінімального податкового зобов’язання здійснюється на підставі поданих платником податку відомостей до отримання контролюючим органом інформації від відповідних органів про власність/користування або перехід права власності/користування на такі земельні ділянки.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Якщо за результатами звірки виявлено розбіжності між даними контролюючого органу та даними, підтвердженими платником податку на підставі оригіналів відповідних документів, контролюючий орган протягом 10 днів, наступних за днем завершення звірки, зобов’язаний скасувати (відкликати) таке податкове повідомлення-рішення та у разі потреби надіслати (вручити) платнику податку нове податкове повідомлення-рішення разом з детальним розрахунком суми податку, складене з урахуванням результатів проведеної звірки. </w:t>
            </w: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lastRenderedPageBreak/>
              <w:t xml:space="preserve">Набирає чинності з 1 січня 2022 року, при </w:t>
            </w:r>
            <w:r w:rsidRPr="0020280B">
              <w:rPr>
                <w:rFonts w:ascii="Times New Roman" w:hAnsi="Times New Roman" w:cs="Times New Roman"/>
                <w:sz w:val="28"/>
                <w:szCs w:val="28"/>
                <w:lang w:eastAsia="en-US"/>
              </w:rPr>
              <w:lastRenderedPageBreak/>
              <w:t>цьому першим роком, за який визначається мінімальне податкове зобов’язання, є 2022 рік</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lastRenderedPageBreak/>
              <w:t>170.14.7. Контролюючі органи за місцем податкової адреси платників податку в 10-</w:t>
            </w:r>
            <w:r w:rsidRPr="0020280B">
              <w:rPr>
                <w:rFonts w:ascii="Times New Roman" w:hAnsi="Times New Roman" w:cs="Times New Roman"/>
                <w:sz w:val="26"/>
                <w:szCs w:val="26"/>
                <w:lang w:eastAsia="en-US"/>
              </w:rPr>
              <w:lastRenderedPageBreak/>
              <w:t>денний строк інформують контролюючі органи за місцезнаходженням відповідних земельних ділянок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lastRenderedPageBreak/>
              <w:t xml:space="preserve">Набирає чинності з 1 січня 2022 року, при </w:t>
            </w:r>
            <w:r w:rsidRPr="0020280B">
              <w:rPr>
                <w:rFonts w:ascii="Times New Roman" w:hAnsi="Times New Roman" w:cs="Times New Roman"/>
                <w:sz w:val="28"/>
                <w:szCs w:val="28"/>
                <w:lang w:eastAsia="en-US"/>
              </w:rPr>
              <w:lastRenderedPageBreak/>
              <w:t>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32"/>
                <w:szCs w:val="32"/>
                <w:lang w:eastAsia="en-US"/>
              </w:rPr>
            </w:pPr>
            <w:r w:rsidRPr="0020280B">
              <w:rPr>
                <w:rFonts w:ascii="Times New Roman" w:hAnsi="Times New Roman" w:cs="Times New Roman"/>
                <w:b/>
                <w:sz w:val="32"/>
                <w:szCs w:val="32"/>
                <w:lang w:eastAsia="en-US"/>
              </w:rPr>
              <w:lastRenderedPageBreak/>
              <w:t>Особливості визначення загального мінімального податкового зобов’язання фізичних осіб – підприємців загальної системи оподаткування</w:t>
            </w: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t>Фізичні особи – підприємці загальної системи оподаткування зобов’язані подавати у складі річної податкової декларації додаток з розрахунком загального мінімального податкового зобов’язання</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177.14. Зареєстровані підприємцями фізичні особи </w:t>
            </w:r>
            <w:r w:rsidRPr="0020280B">
              <w:rPr>
                <w:rFonts w:ascii="Times New Roman" w:hAnsi="Times New Roman" w:cs="Times New Roman"/>
                <w:spacing w:val="-2"/>
                <w:sz w:val="26"/>
                <w:szCs w:val="26"/>
                <w:lang w:eastAsia="en-US"/>
              </w:rPr>
              <w:sym w:font="Symbol" w:char="F02D"/>
            </w:r>
            <w:r w:rsidRPr="0020280B">
              <w:rPr>
                <w:rFonts w:ascii="Times New Roman" w:hAnsi="Times New Roman" w:cs="Times New Roman"/>
                <w:sz w:val="26"/>
                <w:szCs w:val="26"/>
                <w:lang w:eastAsia="en-US"/>
              </w:rPr>
              <w:t xml:space="preserve"> власники, орендарі, користувачі на інших умовах (в тому числі на умовах емфітевзису) земельних ділянок, віднесених до сільськогосподарських угідь, які здійснюють виробництво власної сільськогосподарської продукції,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у складі річної податкової декларації додаток з розрахунком загального мінімального податкового зобов’язання.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У такому додатку, зокрема, зазначаються: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кадастрові номери земельних ділянок, які використовуються таким підприємцем для здійснення підприємницької діяльності та для яких визначається мінімальне податкове зобов’язання, їх нормативна грошова оцінка та площа;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сума загального мінімального податкового зобов’язання, сума мінімального податкового зобов’язання щодо кожної земельної ділянки окремо;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загальна сума сплачених платником податку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сільськогосподарських угідь, та визначених відповідно до пункту 177.15 цієї статті витрат на оренду земельних ділянок (далі у цьому пункті </w:t>
            </w:r>
            <w:r w:rsidRPr="0020280B">
              <w:rPr>
                <w:rFonts w:ascii="Times New Roman" w:hAnsi="Times New Roman" w:cs="Times New Roman"/>
                <w:spacing w:val="-2"/>
                <w:sz w:val="26"/>
                <w:szCs w:val="26"/>
                <w:lang w:eastAsia="en-US"/>
              </w:rPr>
              <w:sym w:font="Symbol" w:char="F02D"/>
            </w:r>
            <w:r w:rsidRPr="0020280B">
              <w:rPr>
                <w:rFonts w:ascii="Times New Roman" w:hAnsi="Times New Roman" w:cs="Times New Roman"/>
                <w:sz w:val="26"/>
                <w:szCs w:val="26"/>
                <w:lang w:eastAsia="en-US"/>
              </w:rPr>
              <w:t xml:space="preserve"> загальна сума сплачених податків, зборів, платежів та витрат на оренду земельних ділянок) протягом податкового (звітного) року;</w:t>
            </w:r>
          </w:p>
          <w:p w:rsidR="004D6A2D" w:rsidRPr="0020280B" w:rsidRDefault="004D6A2D" w:rsidP="0020280B">
            <w:pPr>
              <w:spacing w:after="0" w:line="240" w:lineRule="auto"/>
              <w:ind w:firstLine="284"/>
              <w:rPr>
                <w:rFonts w:ascii="Times New Roman" w:hAnsi="Times New Roman" w:cs="Times New Roman"/>
                <w:sz w:val="26"/>
                <w:szCs w:val="26"/>
                <w:lang w:eastAsia="en-US"/>
              </w:rPr>
            </w:pPr>
            <w:r w:rsidRPr="0020280B">
              <w:rPr>
                <w:rFonts w:ascii="Times New Roman" w:hAnsi="Times New Roman" w:cs="Times New Roman"/>
                <w:sz w:val="26"/>
                <w:szCs w:val="26"/>
                <w:lang w:eastAsia="en-US"/>
              </w:rPr>
              <w:t>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w:t>
            </w: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Times New Roman" w:hAnsi="Times New Roman" w:cs="Times New Roman"/>
                <w:sz w:val="28"/>
                <w:szCs w:val="28"/>
                <w:lang w:eastAsia="en-US"/>
              </w:rPr>
            </w:pPr>
            <w:r w:rsidRPr="0020280B">
              <w:rPr>
                <w:rFonts w:ascii="Times New Roman" w:hAnsi="Times New Roman" w:cs="Times New Roman"/>
                <w:b/>
                <w:sz w:val="28"/>
                <w:szCs w:val="28"/>
                <w:lang w:eastAsia="en-US"/>
              </w:rPr>
              <w:t xml:space="preserve">Як обчислюється різниця між сумою загального мінімального податкового зобов’язання та загальною сумою </w:t>
            </w:r>
            <w:r w:rsidRPr="0020280B">
              <w:rPr>
                <w:rFonts w:ascii="Times New Roman" w:hAnsi="Times New Roman" w:cs="Times New Roman"/>
                <w:b/>
                <w:sz w:val="28"/>
                <w:szCs w:val="28"/>
                <w:lang w:eastAsia="en-US"/>
              </w:rPr>
              <w:lastRenderedPageBreak/>
              <w:t>сплачених податків, зборів, платежів та витрат на оренду земельних ділянок</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lastRenderedPageBreak/>
              <w:t xml:space="preserve">177.15. 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обчислюється шляхом віднімання від загального мінімального податкового зобов’язання загальної суми сплачених протягом податкового (звітного) року податків, зборів, платежів та витрат на оренду земельних ділянок.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До суми сплачених податків, зборів, платежів та витрат на оренду земельних ділянок відносяться: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податок на доходи фізичних осіб та військовий збір з чистого оподаткованого доходу від реалізації власної сільськогосподарської продукції;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податок на доходи фізичних осіб та військовий збір з доходів фізичних осіб, які перебувають з платником податку у трудових або цивільно-правових відносинах (крім доходів, які сплачені за придбання товарів у фізичних осіб), з доходів за договорами оренди, суборенди, емфітевзису земельних ділянок сільськогосподарського призначення;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єдиний податок (у разі переходу у податковому (звітному) році із спрощеної системи оподаткування на загальну);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земельний податок за земельні ділянки, віднесені до сільськогосподарських угідь,  які використовуються у підприємницькій діяльності;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рентна плата за спеціальне використання води;</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20 відсотків витрат на сплату орендної плати за віднесені до сільськогосподарських угідь земельні ділянки, орендодавцями яких є юридичні особи та/або які перебувають  у державній чи комунальній власності.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У сумі сплачених податків, зборів, платежів та витрат на оренду земельних ділянок не враховуються помилково та/або надміру сплачені у податковому (звітному) році суми податків, зборів, платежів. </w:t>
            </w:r>
          </w:p>
        </w:tc>
        <w:tc>
          <w:tcPr>
            <w:tcW w:w="5637" w:type="dxa"/>
          </w:tcPr>
          <w:p w:rsidR="004D6A2D" w:rsidRPr="0020280B" w:rsidRDefault="004D6A2D" w:rsidP="0020280B">
            <w:pPr>
              <w:spacing w:after="0" w:line="240" w:lineRule="auto"/>
              <w:rPr>
                <w:rFonts w:ascii="Times New Roman" w:hAnsi="Times New Roman" w:cs="Times New Roman"/>
                <w:sz w:val="28"/>
                <w:szCs w:val="28"/>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p w:rsidR="004D6A2D" w:rsidRPr="0020280B" w:rsidRDefault="004D6A2D" w:rsidP="0020280B">
            <w:pPr>
              <w:spacing w:after="0" w:line="240" w:lineRule="auto"/>
              <w:rPr>
                <w:rFonts w:ascii="Times New Roman" w:hAnsi="Times New Roman" w:cs="Times New Roman"/>
                <w:sz w:val="28"/>
                <w:szCs w:val="28"/>
                <w:lang w:eastAsia="en-US"/>
              </w:rPr>
            </w:pPr>
          </w:p>
          <w:p w:rsidR="004D6A2D" w:rsidRPr="0020280B" w:rsidRDefault="004D6A2D" w:rsidP="0020280B">
            <w:pPr>
              <w:spacing w:after="120" w:line="240" w:lineRule="auto"/>
              <w:jc w:val="both"/>
              <w:rPr>
                <w:rFonts w:ascii="Times New Roman" w:hAnsi="Times New Roman" w:cs="Times New Roman"/>
                <w:sz w:val="28"/>
                <w:szCs w:val="28"/>
                <w:highlight w:val="yellow"/>
                <w:lang w:eastAsia="en-US"/>
              </w:rPr>
            </w:pPr>
            <w:r w:rsidRPr="0020280B">
              <w:rPr>
                <w:rFonts w:ascii="Times New Roman" w:hAnsi="Times New Roman" w:cs="Times New Roman"/>
                <w:sz w:val="28"/>
                <w:szCs w:val="28"/>
                <w:lang w:eastAsia="en-US"/>
              </w:rPr>
              <w:t>- При обчисленні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за 2022 рік до загальної суми сплачених податків, зборів, платежів та витрат на оренду земельних ділянок, визначених підпунктами 141.9.2, 141.9.3 пункту 141.9 статті 141, пункту 177.15 статті 177, пунктів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.2,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.3,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.4,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.5 статті</w:t>
            </w:r>
            <w:r w:rsidRPr="0020280B">
              <w:rPr>
                <w:rFonts w:ascii="Times New Roman" w:hAnsi="Times New Roman" w:cs="Times New Roman"/>
                <w:sz w:val="28"/>
                <w:szCs w:val="28"/>
                <w:lang w:val="en-US" w:eastAsia="en-US"/>
              </w:rPr>
              <w:t> </w:t>
            </w:r>
            <w:r w:rsidRPr="0020280B">
              <w:rPr>
                <w:rFonts w:ascii="Times New Roman" w:hAnsi="Times New Roman" w:cs="Times New Roman"/>
                <w:sz w:val="28"/>
                <w:szCs w:val="28"/>
                <w:lang w:eastAsia="en-US"/>
              </w:rPr>
              <w:t>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 xml:space="preserve"> цього Кодексу, включаються суми податків, зборів, платежів, сплачених у 2021 році в рахунок податкових зобов’язань з цих податків, зборів, платежів 2022 року</w:t>
            </w:r>
          </w:p>
          <w:p w:rsidR="004D6A2D" w:rsidRPr="0020280B" w:rsidRDefault="004D6A2D" w:rsidP="0020280B">
            <w:pPr>
              <w:spacing w:after="0" w:line="240" w:lineRule="auto"/>
              <w:rPr>
                <w:rFonts w:ascii="Cambria" w:hAnsi="Cambria" w:cs="Times New Roman"/>
                <w:lang w:eastAsia="en-US"/>
              </w:rPr>
            </w:pPr>
          </w:p>
        </w:tc>
      </w:tr>
      <w:tr w:rsidR="004D6A2D" w:rsidTr="0020280B">
        <w:tc>
          <w:tcPr>
            <w:tcW w:w="15526" w:type="dxa"/>
            <w:gridSpan w:val="2"/>
          </w:tcPr>
          <w:p w:rsidR="004D6A2D" w:rsidRPr="0020280B" w:rsidRDefault="004D6A2D" w:rsidP="0020280B">
            <w:pPr>
              <w:spacing w:after="0" w:line="240" w:lineRule="auto"/>
              <w:jc w:val="center"/>
              <w:rPr>
                <w:rFonts w:ascii="Times New Roman" w:hAnsi="Times New Roman" w:cs="Times New Roman"/>
                <w:sz w:val="28"/>
                <w:szCs w:val="28"/>
                <w:lang w:eastAsia="en-US"/>
              </w:rPr>
            </w:pPr>
            <w:r w:rsidRPr="0020280B">
              <w:rPr>
                <w:rFonts w:ascii="Times New Roman" w:hAnsi="Times New Roman" w:cs="Times New Roman"/>
                <w:b/>
                <w:sz w:val="28"/>
                <w:szCs w:val="28"/>
                <w:lang w:eastAsia="en-US"/>
              </w:rPr>
              <w:t>Використання земельної ділянки на праві емфітевзису</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177.16. У разі використання земельної ділянки на праві емфітевзису податок на доходи фізичних осіб та військовий збір, сплачені під час здійснення виплат за таким договором емфітевзису, щорічно враховується у частці, розрахованій пропорційно до річної суми нарахованої амортизації на нематеріальний актив у вигляді права користування земельною ділянкою за договором емфітевзису. </w:t>
            </w:r>
          </w:p>
          <w:p w:rsidR="004D6A2D" w:rsidRPr="0020280B" w:rsidRDefault="004D6A2D" w:rsidP="0020280B">
            <w:pPr>
              <w:spacing w:after="0" w:line="240" w:lineRule="auto"/>
              <w:ind w:firstLine="284"/>
              <w:rPr>
                <w:rFonts w:ascii="Times New Roman" w:hAnsi="Times New Roman" w:cs="Times New Roman"/>
                <w:sz w:val="26"/>
                <w:szCs w:val="26"/>
                <w:lang w:eastAsia="en-US"/>
              </w:rPr>
            </w:pP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Times New Roman" w:hAnsi="Times New Roman" w:cs="Times New Roman"/>
                <w:sz w:val="28"/>
                <w:szCs w:val="28"/>
                <w:lang w:eastAsia="en-US"/>
              </w:rPr>
            </w:pPr>
            <w:r w:rsidRPr="0020280B">
              <w:rPr>
                <w:rFonts w:ascii="Times New Roman" w:hAnsi="Times New Roman" w:cs="Times New Roman"/>
                <w:b/>
                <w:sz w:val="28"/>
                <w:szCs w:val="28"/>
                <w:lang w:eastAsia="en-US"/>
              </w:rPr>
              <w:t xml:space="preserve">Позитивне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збільшує суму  податку на доходи </w:t>
            </w:r>
            <w:r w:rsidRPr="0020280B">
              <w:rPr>
                <w:rFonts w:ascii="Times New Roman" w:hAnsi="Times New Roman" w:cs="Times New Roman"/>
                <w:b/>
                <w:sz w:val="28"/>
                <w:szCs w:val="28"/>
                <w:lang w:eastAsia="en-US"/>
              </w:rPr>
              <w:lastRenderedPageBreak/>
              <w:t>фізичних осіб, що підлягає сплаті до бюджету</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lastRenderedPageBreak/>
              <w:t xml:space="preserve">177.17. При позитивному значенні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платник податку зобов’язаний збільшити визначену в річній податковій декларації суму податку на доходи фізичних осіб, що підлягає сплаті до бюджету, на суму такого позитивного значення та сплатити таку збільшену суму податку до бюджету в порядку та строки, визначені цим Кодексом для сплати податку на доходи фізичних осіб. Позитивне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є частиною зобов’язань з податку на доходи фізичних осіб. </w:t>
            </w: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Times New Roman" w:hAnsi="Times New Roman" w:cs="Times New Roman"/>
                <w:sz w:val="28"/>
                <w:szCs w:val="28"/>
                <w:lang w:eastAsia="en-US"/>
              </w:rPr>
            </w:pPr>
            <w:r w:rsidRPr="0020280B">
              <w:rPr>
                <w:rFonts w:ascii="Times New Roman" w:hAnsi="Times New Roman" w:cs="Times New Roman"/>
                <w:b/>
                <w:sz w:val="28"/>
                <w:szCs w:val="28"/>
                <w:lang w:eastAsia="en-US"/>
              </w:rPr>
              <w:t>Позитивне значення різниці підлягає сплаті до бюджету в порядку та строки, визначені Кодексом для сплати податку на доходи фізичних осіб</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177.18. Позитивне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підлягає сплаті до бюджету в порядку та строки, визначені цим Кодексом для сплати податку на доходи фізичних осіб</w:t>
            </w: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Times New Roman" w:hAnsi="Times New Roman" w:cs="Times New Roman"/>
                <w:sz w:val="28"/>
                <w:szCs w:val="28"/>
                <w:lang w:eastAsia="en-US"/>
              </w:rPr>
            </w:pPr>
            <w:r w:rsidRPr="0020280B">
              <w:rPr>
                <w:rFonts w:ascii="Times New Roman" w:hAnsi="Times New Roman" w:cs="Times New Roman"/>
                <w:b/>
                <w:sz w:val="28"/>
                <w:szCs w:val="28"/>
                <w:lang w:eastAsia="en-US"/>
              </w:rPr>
              <w:t>До якого бюджету сплачується сума податку на доходи фізичних осіб в частині позитивного значення різниці</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177.19. Сума податку на доходи фізичних осіб в частині позитивного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сплачується (перераховується) до місцевих бюджетів за місцезнаходженням земельних ділянок пропорційно до питомої ваги площі кожної із земельних ділянок, віднесених до сільськогосподарських угідь. </w:t>
            </w:r>
          </w:p>
          <w:p w:rsidR="004D6A2D" w:rsidRPr="0020280B" w:rsidRDefault="004D6A2D" w:rsidP="0020280B">
            <w:pPr>
              <w:spacing w:after="0" w:line="240" w:lineRule="auto"/>
              <w:ind w:firstLine="284"/>
              <w:rPr>
                <w:rFonts w:ascii="Times New Roman" w:hAnsi="Times New Roman" w:cs="Times New Roman"/>
                <w:sz w:val="26"/>
                <w:szCs w:val="26"/>
                <w:lang w:eastAsia="en-US"/>
              </w:rPr>
            </w:pP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Times New Roman" w:hAnsi="Times New Roman" w:cs="Times New Roman"/>
                <w:sz w:val="28"/>
                <w:szCs w:val="28"/>
                <w:lang w:eastAsia="en-US"/>
              </w:rPr>
            </w:pPr>
            <w:r w:rsidRPr="0020280B">
              <w:rPr>
                <w:rFonts w:ascii="Times New Roman" w:hAnsi="Times New Roman" w:cs="Times New Roman"/>
                <w:b/>
                <w:sz w:val="28"/>
                <w:szCs w:val="28"/>
                <w:lang w:eastAsia="en-US"/>
              </w:rPr>
              <w:t>Сума податку на доходи фізичних осіб в частині позитивного значення різниці не враховується у загальній сумі сплачених податків, зборів, платежів та витрат на оренду земельних ділянок у наступному звітному році</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177.20. Сума податку на доходи фізичних осіб у частині позитивного значення такої різниці не враховується у загальній сумі сплачених податків, зборів, платежів та витрат на оренду земельних ділянок у наступному податковому (звітному) році</w:t>
            </w: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Times New Roman" w:hAnsi="Times New Roman" w:cs="Times New Roman"/>
                <w:sz w:val="28"/>
                <w:szCs w:val="28"/>
                <w:lang w:eastAsia="en-US"/>
              </w:rPr>
            </w:pPr>
            <w:r w:rsidRPr="0020280B">
              <w:rPr>
                <w:rFonts w:ascii="Times New Roman" w:hAnsi="Times New Roman" w:cs="Times New Roman"/>
                <w:b/>
                <w:sz w:val="28"/>
                <w:szCs w:val="28"/>
                <w:lang w:eastAsia="en-US"/>
              </w:rPr>
              <w:t>Розрахунок   загального мінімального податкового зобов’язання надається  платниками податку за наявності таких доходів (витрат)</w:t>
            </w:r>
          </w:p>
        </w:tc>
      </w:tr>
      <w:tr w:rsidR="004D6A2D" w:rsidTr="0020280B">
        <w:tc>
          <w:tcPr>
            <w:tcW w:w="9889" w:type="dxa"/>
          </w:tcPr>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179.9 абзац п’ятий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lastRenderedPageBreak/>
              <w:t>"розрахунки окремих видів доходів (витрат), загального мінімального податкового зобов’язання мають міститися в додатках до податкової декларації, що заповнюються виключно платниками податку за наявності таких доходів (витрат) або необхідності розрахунку такого загального мінімального податкового зобов’язання</w:t>
            </w: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lastRenderedPageBreak/>
              <w:t xml:space="preserve">Набирає чинності з 1 січня 2022 року, при </w:t>
            </w:r>
            <w:r w:rsidRPr="0020280B">
              <w:rPr>
                <w:rFonts w:ascii="Times New Roman" w:hAnsi="Times New Roman" w:cs="Times New Roman"/>
                <w:sz w:val="28"/>
                <w:szCs w:val="28"/>
                <w:lang w:eastAsia="en-US"/>
              </w:rPr>
              <w:lastRenderedPageBreak/>
              <w:t>цьому першим роком, за який визначається мінімальне податкове зобов’язання, є 2022 рік</w:t>
            </w:r>
          </w:p>
        </w:tc>
      </w:tr>
      <w:tr w:rsidR="004D6A2D" w:rsidTr="0020280B">
        <w:tc>
          <w:tcPr>
            <w:tcW w:w="9889" w:type="dxa"/>
          </w:tcPr>
          <w:p w:rsidR="004D6A2D" w:rsidRPr="0020280B" w:rsidRDefault="004D6A2D" w:rsidP="0020280B">
            <w:pPr>
              <w:spacing w:after="0" w:line="240" w:lineRule="auto"/>
              <w:rPr>
                <w:rFonts w:ascii="Times New Roman" w:hAnsi="Times New Roman" w:cs="Times New Roman"/>
                <w:sz w:val="26"/>
                <w:szCs w:val="26"/>
                <w:lang w:eastAsia="en-US"/>
              </w:rPr>
            </w:pPr>
          </w:p>
        </w:tc>
        <w:tc>
          <w:tcPr>
            <w:tcW w:w="5637" w:type="dxa"/>
          </w:tcPr>
          <w:p w:rsidR="004D6A2D" w:rsidRPr="0020280B" w:rsidRDefault="004D6A2D" w:rsidP="0020280B">
            <w:pPr>
              <w:spacing w:after="0" w:line="240" w:lineRule="auto"/>
              <w:rPr>
                <w:rFonts w:ascii="Cambria" w:hAnsi="Cambria" w:cs="Times New Roman"/>
                <w:lang w:eastAsia="en-US"/>
              </w:rPr>
            </w:pP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32"/>
                <w:szCs w:val="32"/>
                <w:lang w:eastAsia="en-US"/>
              </w:rPr>
            </w:pPr>
            <w:r w:rsidRPr="0020280B">
              <w:rPr>
                <w:rFonts w:ascii="Times New Roman" w:hAnsi="Times New Roman" w:cs="Times New Roman"/>
                <w:b/>
                <w:sz w:val="32"/>
                <w:szCs w:val="32"/>
                <w:lang w:eastAsia="en-US"/>
              </w:rPr>
              <w:t>Особливості визначення загального мінімального податкового зобов’язання платників єдиного податку</w:t>
            </w: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t>Розрахунок  загального мінімального податкового зобов’язання надається платниками єдиного податку у складі податкової декларації за податковий (звітний) рік</w:t>
            </w:r>
          </w:p>
        </w:tc>
      </w:tr>
      <w:tr w:rsidR="004D6A2D" w:rsidTr="0020280B">
        <w:tc>
          <w:tcPr>
            <w:tcW w:w="9889" w:type="dxa"/>
          </w:tcPr>
          <w:p w:rsidR="004D6A2D" w:rsidRPr="0020280B" w:rsidRDefault="004D6A2D" w:rsidP="0020280B">
            <w:pPr>
              <w:spacing w:after="0" w:line="240" w:lineRule="auto"/>
              <w:ind w:firstLine="284"/>
              <w:rPr>
                <w:rFonts w:ascii="Times New Roman" w:hAnsi="Times New Roman" w:cs="Times New Roman"/>
                <w:sz w:val="26"/>
                <w:szCs w:val="26"/>
                <w:lang w:eastAsia="en-US"/>
              </w:rPr>
            </w:pPr>
            <w:r w:rsidRPr="0020280B">
              <w:rPr>
                <w:rFonts w:ascii="Times New Roman" w:hAnsi="Times New Roman" w:cs="Times New Roman"/>
                <w:sz w:val="26"/>
                <w:szCs w:val="26"/>
                <w:lang w:eastAsia="en-US"/>
              </w:rPr>
              <w:t>"Стаття 297</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 Особливості визначення загального мінімального податкового зобов’язання платників єдиного податку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297</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.1. Платники єдиного податку </w:t>
            </w:r>
            <w:r w:rsidRPr="0020280B">
              <w:rPr>
                <w:rFonts w:ascii="Times New Roman" w:hAnsi="Times New Roman" w:cs="Times New Roman"/>
                <w:sz w:val="26"/>
                <w:szCs w:val="26"/>
                <w:lang w:val="en-US" w:eastAsia="en-US"/>
              </w:rPr>
              <w:sym w:font="Symbol" w:char="F02D"/>
            </w:r>
            <w:r w:rsidRPr="0020280B">
              <w:rPr>
                <w:rFonts w:ascii="Times New Roman" w:hAnsi="Times New Roman" w:cs="Times New Roman"/>
                <w:sz w:val="26"/>
                <w:szCs w:val="26"/>
                <w:lang w:eastAsia="en-US"/>
              </w:rPr>
              <w:t xml:space="preserve"> власники, орендарі, користувачі на інших умовах (в тому числі на умовах емфітевзису) земельних ділянок, віднесених до сільськогосподарських угідь,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додаток з розрахунком загального мінімального податкового зобов’язання у складі податкової декларації за податковий (звітний) рік.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У такому додатку, зокрема, зазначаються:</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кадастрові номери земельних ділянок, які використовуються такими платниками для здійснення підприємницької діяльності, та для яких визначається мінімальне податкове зобов’язання, їх нормативна грошова оцінка та площа таких земельних ділянок;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сума загального мінімального податкового зобов’язання, сума мінімального податкового зобов’язання щодо кожної земельної ділянки;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загальна сума сплачених платником єдиного податку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сільськогосподарських угідь, та визначених відповідно до пунктів 297</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.2, 297</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.3, 297</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.4 або 297</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.5 статті 297</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 витрат на оренду земельних ділянок (далі у цій статті – загальна сума сплачених податків, зборів, платежів та витрат на оренду земельних ділянок) протягом податкового (звітного) року; </w:t>
            </w:r>
          </w:p>
          <w:p w:rsidR="004D6A2D" w:rsidRPr="0020280B" w:rsidRDefault="004D6A2D" w:rsidP="0020280B">
            <w:pPr>
              <w:spacing w:after="0" w:line="240" w:lineRule="auto"/>
              <w:ind w:firstLine="284"/>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w:t>
            </w: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lastRenderedPageBreak/>
              <w:t>Як обчислюється 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платниками єдиного податку другої групи</w:t>
            </w:r>
          </w:p>
        </w:tc>
      </w:tr>
      <w:tr w:rsidR="004D6A2D" w:rsidTr="0020280B">
        <w:tc>
          <w:tcPr>
            <w:tcW w:w="9889" w:type="dxa"/>
          </w:tcPr>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297</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.2. Для фізичної особи – платника єдиного податку другої групи 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обчислюється шляхом віднімання від загального мінімального податкового зобов’язання загальної суми сплачених протягом податкового (звітного) року податків, зборів, платежів та витрат на оренду земельних ділянок.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До суми сплачених податків, зборів, платежів та витрат на оренду земельних ділянок відносяться: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єдиний податок; податок на доходи фізичних осіб та військовий збір з доходів (чистого оподаткованого доходу) від продажу (реалізації) власної сільськогосподарської продукції (у разі переходу в податковому (звітному) році на спрощену систему оподаткування із загальної);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податок на доходи фізичних осіб та військовий збір з доходів фізичних осіб, які перебувають з платником єдиного податку другої групи у трудових або цивільно-правових відносинах (крім доходів, сплачених за придбання товарів у фізичних осіб);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податок на доходи фізичних осіб та військовий збір з доходів фізичних осіб за договорами оренди, суборенди, емфітевзису земельних ділянок, віднесених до сільськогосподарських угідь, за податковий (звітний) рік;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земельний податок за земельні ділянки, віднесені до сільськогосподарських угідь, які використовуються такими платниками для здійснення підприємницької діяльності (у разі переходу в податковому (звітному) році на спрощену систему оподаткування із загальної);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рентна плата за спеціальне використання води (у разі її сплати);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20 відсотків витрат на сплату орендної плати за віднесені до сільськогосподарських угідь земельні ділянки, орендодавцями яких є юридичні особи, та/або які перебувають у  державній чи комунальній власності.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У сумі сплачених податків, зборів, платежів та витрат на оренду земельних ділянок не враховуються помилково та/або надміру сплачені у податковому (звітному) році суми податків, зборів, платежів. </w:t>
            </w:r>
          </w:p>
        </w:tc>
        <w:tc>
          <w:tcPr>
            <w:tcW w:w="5637" w:type="dxa"/>
          </w:tcPr>
          <w:p w:rsidR="004D6A2D" w:rsidRPr="0020280B" w:rsidRDefault="004D6A2D" w:rsidP="0020280B">
            <w:pPr>
              <w:spacing w:after="0" w:line="240" w:lineRule="auto"/>
              <w:rPr>
                <w:rFonts w:ascii="Times New Roman" w:hAnsi="Times New Roman" w:cs="Times New Roman"/>
                <w:sz w:val="28"/>
                <w:szCs w:val="28"/>
                <w:lang w:eastAsia="en-US"/>
              </w:rPr>
            </w:pPr>
            <w:r w:rsidRPr="0020280B">
              <w:rPr>
                <w:rFonts w:ascii="Times New Roman" w:hAnsi="Times New Roman" w:cs="Times New Roman"/>
                <w:sz w:val="28"/>
                <w:szCs w:val="28"/>
                <w:lang w:eastAsia="en-US"/>
              </w:rPr>
              <w:t>- Набирає чинності з 1 січня 2022 року, при цьому першим роком, за який визначається мінімальне податкове зобов’язання, є 2022 рік</w:t>
            </w:r>
          </w:p>
          <w:p w:rsidR="004D6A2D" w:rsidRPr="0020280B" w:rsidRDefault="004D6A2D" w:rsidP="0020280B">
            <w:pPr>
              <w:spacing w:after="0" w:line="240" w:lineRule="auto"/>
              <w:jc w:val="both"/>
              <w:rPr>
                <w:rFonts w:ascii="Times New Roman" w:hAnsi="Times New Roman" w:cs="Times New Roman"/>
                <w:sz w:val="28"/>
                <w:szCs w:val="28"/>
                <w:lang w:eastAsia="en-US"/>
              </w:rPr>
            </w:pPr>
          </w:p>
          <w:p w:rsidR="004D6A2D" w:rsidRPr="0020280B" w:rsidRDefault="004D6A2D" w:rsidP="0020280B">
            <w:pPr>
              <w:spacing w:after="0" w:line="240" w:lineRule="auto"/>
              <w:jc w:val="both"/>
              <w:rPr>
                <w:rFonts w:ascii="Cambria" w:hAnsi="Cambria" w:cs="Times New Roman"/>
                <w:lang w:eastAsia="en-US"/>
              </w:rPr>
            </w:pPr>
            <w:r w:rsidRPr="0020280B">
              <w:rPr>
                <w:rFonts w:ascii="Times New Roman" w:hAnsi="Times New Roman" w:cs="Times New Roman"/>
                <w:sz w:val="28"/>
                <w:szCs w:val="28"/>
                <w:lang w:eastAsia="en-US"/>
              </w:rPr>
              <w:t>- При обчисленні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за 2022 рік до загальної суми сплачених податків, зборів, платежів та витрат на оренду земельних ділянок, визначених підпунктами 141.9.2, 141.9.3 пункту 141.9 статті 141, пункту 177.15 статті 177, пунктів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.2,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.3,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.4,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.5 статті</w:t>
            </w:r>
            <w:r w:rsidRPr="0020280B">
              <w:rPr>
                <w:rFonts w:ascii="Times New Roman" w:hAnsi="Times New Roman" w:cs="Times New Roman"/>
                <w:sz w:val="28"/>
                <w:szCs w:val="28"/>
                <w:lang w:val="en-US" w:eastAsia="en-US"/>
              </w:rPr>
              <w:t> </w:t>
            </w:r>
            <w:r w:rsidRPr="0020280B">
              <w:rPr>
                <w:rFonts w:ascii="Times New Roman" w:hAnsi="Times New Roman" w:cs="Times New Roman"/>
                <w:sz w:val="28"/>
                <w:szCs w:val="28"/>
                <w:lang w:eastAsia="en-US"/>
              </w:rPr>
              <w:t>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 xml:space="preserve"> цього Кодексу, включаються суми податків, зборів, платежів, сплачених у 2021 році в рахунок податкових зобов’язань з цих податків, зборів, платежів 2022 року.</w:t>
            </w: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t>Як обчислюється 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платниками єдиного податку третьої  групи у яких частка сільськогосподарського товаровиробництва за податковий (звітний) рік дорівнює або перевищує 75 відсотків</w:t>
            </w:r>
          </w:p>
        </w:tc>
      </w:tr>
      <w:tr w:rsidR="004D6A2D" w:rsidTr="0020280B">
        <w:tc>
          <w:tcPr>
            <w:tcW w:w="9889" w:type="dxa"/>
          </w:tcPr>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lastRenderedPageBreak/>
              <w:t>297</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.3. Для платників єдиного податку третьої групи (юридичних осіб та фізичних осіб – підприємців), у яких частка сільськогосподарського товаровиробництва за податковий (звітний) рік, розрахована відповідно до підпункту 14.1.262 пункту 14.1 статті 14 цього Кодексу, дорівнює або перевищує 75 відсотків, 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обчислюється шляхом віднімання від загального мінімального податкового зобов’язання загальної суми сплачених протягом податкового (звітного) року податків, зборів, платежів та витрат на оренду земельних ділянок.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До суми сплачених податків, зборів, платежів та витрат на оренду земельних ділянок відносяться: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єдиний податок; податок на прибуток підприємств (у разі переходу в податковому (звітному) році на спрощену систему оподаткування із загальної);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 податок на доходи фізичних осіб та військовий збір з доходів (чистого оподаткованого доходу) від продажу (реалізації) власної сільськогосподарської продукції (у разі переходу в податковому (звітному) році на спрощену систему оподаткування із загальної);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податок на доходи фізичних осіб та військовий збір з доходів фізичних осіб, які перебувають з платником податку у трудових або цивільно-правових відносинах (крім доходів, сплачених за придбання товарів у фізичних осіб), з доходів за договорами оренди, суборенди, емфітевзису земельних ділянок сільськогосподарського призначення;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земельний податок за земельні ділянки, віднесені до сільськогосподарських угідь, які використовуються такими платниками для здійснення підприємницької діяльності (у разі переходу в податковому (звітному) році на спрощену систему оподаткування із загальної);</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рентна плата за спеціальне використання води (у разі її сплати);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20 відсотків витрат на сплату орендної плати за віднесені до сільськогосподарських угідь земельні ділянки, орендодавцями яких є юридичні особи, та/або які перебувають у  державній чи комунальній власності.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У сумі сплачених податків, зборів, платежів та витрат на оренду земельних ділянок не враховуються помилково та/або надміру сплачені у податковому (звітному) році суми податків, зборів, платежів. </w:t>
            </w:r>
          </w:p>
          <w:p w:rsidR="004D6A2D" w:rsidRPr="0020280B" w:rsidRDefault="004D6A2D" w:rsidP="0020280B">
            <w:pPr>
              <w:spacing w:after="0" w:line="240" w:lineRule="auto"/>
              <w:ind w:firstLine="567"/>
              <w:rPr>
                <w:rFonts w:ascii="Times New Roman" w:hAnsi="Times New Roman" w:cs="Times New Roman"/>
                <w:sz w:val="26"/>
                <w:szCs w:val="26"/>
                <w:lang w:eastAsia="en-US"/>
              </w:rPr>
            </w:pPr>
          </w:p>
        </w:tc>
        <w:tc>
          <w:tcPr>
            <w:tcW w:w="5637" w:type="dxa"/>
          </w:tcPr>
          <w:p w:rsidR="004D6A2D" w:rsidRPr="0020280B" w:rsidRDefault="004D6A2D" w:rsidP="0020280B">
            <w:pPr>
              <w:spacing w:after="0" w:line="240" w:lineRule="auto"/>
              <w:rPr>
                <w:rFonts w:ascii="Cambria" w:hAnsi="Cambria" w:cs="Times New Roman"/>
                <w:lang w:eastAsia="en-US"/>
              </w:rPr>
            </w:pPr>
          </w:p>
          <w:p w:rsidR="004D6A2D" w:rsidRPr="0020280B" w:rsidRDefault="004D6A2D" w:rsidP="0020280B">
            <w:pPr>
              <w:spacing w:after="0" w:line="240" w:lineRule="auto"/>
              <w:jc w:val="both"/>
              <w:rPr>
                <w:rFonts w:ascii="Times New Roman" w:hAnsi="Times New Roman" w:cs="Times New Roman"/>
                <w:sz w:val="28"/>
                <w:szCs w:val="28"/>
                <w:lang w:eastAsia="en-US"/>
              </w:rPr>
            </w:pPr>
            <w:r w:rsidRPr="0020280B">
              <w:rPr>
                <w:rFonts w:ascii="Times New Roman" w:hAnsi="Times New Roman" w:cs="Times New Roman"/>
                <w:sz w:val="28"/>
                <w:szCs w:val="28"/>
                <w:lang w:eastAsia="en-US"/>
              </w:rPr>
              <w:t>- Набирає чинності з 1 січня 2022 року, при цьому першим роком, за який визначається мінімальне податкове зобов’язання, є 2022 рік</w:t>
            </w:r>
          </w:p>
          <w:p w:rsidR="004D6A2D" w:rsidRPr="0020280B" w:rsidRDefault="004D6A2D" w:rsidP="0020280B">
            <w:pPr>
              <w:spacing w:after="0" w:line="240" w:lineRule="auto"/>
              <w:jc w:val="both"/>
              <w:rPr>
                <w:rFonts w:ascii="Times New Roman" w:hAnsi="Times New Roman" w:cs="Times New Roman"/>
                <w:sz w:val="28"/>
                <w:szCs w:val="28"/>
                <w:lang w:eastAsia="en-US"/>
              </w:rPr>
            </w:pPr>
          </w:p>
          <w:p w:rsidR="004D6A2D" w:rsidRPr="0020280B" w:rsidRDefault="004D6A2D" w:rsidP="0020280B">
            <w:pPr>
              <w:spacing w:after="0" w:line="240" w:lineRule="auto"/>
              <w:jc w:val="both"/>
              <w:rPr>
                <w:rFonts w:ascii="Cambria" w:hAnsi="Cambria" w:cs="Times New Roman"/>
                <w:lang w:eastAsia="en-US"/>
              </w:rPr>
            </w:pPr>
            <w:r w:rsidRPr="0020280B">
              <w:rPr>
                <w:rFonts w:ascii="Times New Roman" w:hAnsi="Times New Roman" w:cs="Times New Roman"/>
                <w:sz w:val="28"/>
                <w:szCs w:val="28"/>
                <w:lang w:eastAsia="en-US"/>
              </w:rPr>
              <w:t>- При обчисленні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за 2022 рік до загальної суми сплачених податків, зборів, платежів та витрат на оренду земельних ділянок, визначених підпунктами 141.9.2, 141.9.3 пункту 141.9 статті 141, пункту 177.15 статті 177, пунктів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.2,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.3,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.4,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.5 статті</w:t>
            </w:r>
            <w:r w:rsidRPr="0020280B">
              <w:rPr>
                <w:rFonts w:ascii="Times New Roman" w:hAnsi="Times New Roman" w:cs="Times New Roman"/>
                <w:sz w:val="28"/>
                <w:szCs w:val="28"/>
                <w:lang w:val="en-US" w:eastAsia="en-US"/>
              </w:rPr>
              <w:t> </w:t>
            </w:r>
            <w:r w:rsidRPr="0020280B">
              <w:rPr>
                <w:rFonts w:ascii="Times New Roman" w:hAnsi="Times New Roman" w:cs="Times New Roman"/>
                <w:sz w:val="28"/>
                <w:szCs w:val="28"/>
                <w:lang w:eastAsia="en-US"/>
              </w:rPr>
              <w:t>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 xml:space="preserve"> цього Кодексу, включаються суми податків, зборів, платежів, сплачених у 2021 році в рахунок податкових зобов’язань з цих податків, зборів, платежів 2022 року</w:t>
            </w: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t xml:space="preserve">Як обчислюється різниця між сумою загального мінімального податкового зобов’язання та загальною сумою </w:t>
            </w:r>
            <w:r w:rsidRPr="0020280B">
              <w:rPr>
                <w:rFonts w:ascii="Times New Roman" w:hAnsi="Times New Roman" w:cs="Times New Roman"/>
                <w:b/>
                <w:sz w:val="28"/>
                <w:szCs w:val="28"/>
                <w:lang w:eastAsia="en-US"/>
              </w:rPr>
              <w:lastRenderedPageBreak/>
              <w:t xml:space="preserve">сплачених податків, зборів, платежів та витрат на оренду земельних ділянок. платниками єдиного податку третьої  групи у яких частка сільськогосподарського товаровиробництва за податковий (звітний) рік становить менше </w:t>
            </w:r>
            <w:r w:rsidRPr="0020280B">
              <w:rPr>
                <w:rFonts w:ascii="Times New Roman" w:hAnsi="Times New Roman" w:cs="Times New Roman"/>
                <w:b/>
                <w:sz w:val="28"/>
                <w:szCs w:val="28"/>
                <w:lang w:eastAsia="en-US"/>
              </w:rPr>
              <w:br/>
              <w:t>75 відсотків</w:t>
            </w:r>
          </w:p>
        </w:tc>
      </w:tr>
      <w:tr w:rsidR="004D6A2D" w:rsidTr="0020280B">
        <w:tc>
          <w:tcPr>
            <w:tcW w:w="9889" w:type="dxa"/>
          </w:tcPr>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lastRenderedPageBreak/>
              <w:t>297</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.4. Для платника єдиного податку третьої групи (юридичних осіб та фізичних осіб – підприємців), у яких частка сільськогосподарського товаровиробництва за податковий (звітний) рік, розрахована відповідно до підпункту 14.1.262 пункту 14.1 статті 14 цього Кодексу, становить менше </w:t>
            </w:r>
            <w:r w:rsidRPr="0020280B">
              <w:rPr>
                <w:rFonts w:ascii="Times New Roman" w:hAnsi="Times New Roman" w:cs="Times New Roman"/>
                <w:sz w:val="26"/>
                <w:szCs w:val="26"/>
                <w:lang w:eastAsia="en-US"/>
              </w:rPr>
              <w:br/>
              <w:t xml:space="preserve">75 відсотків, різниця між сумою загального мінімального податкового зобов’язання та загальною сумою сплачених податків, зборів, платежів обчислюється шляхом віднімання від загального мінімального податкового зобов’язання загальної суми сплачених протягом податкового (звітного) року податків, зборів, платежів та витрат на оренду земельних ділянок.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До суми сплачених податків, зборів, платежів та витрат на оренду земельних ділянок відносяться: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єдиний податок, сплачений платником єдиного податку третьої групи у розмірі, пропорційному частці сільськогосподарського товаровиробництва такого платника за податковий (звітний) рік, розрахованій відповідно до підпункту 14.1.262 пункту 14.1 статті 14 цього Кодексу;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єдиний податок, сплачений платником єдиного податку другої групи, у разі переходу на третю групу в податковому (звітному) році;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податок на прибуток підприємств у розмірі, пропорційному частці сільськогосподарського товаровиробництва такого платника за звітний період (у разі переходу в податковому (звітному) році на спрощену систему оподаткування із загальної) за податковий (звітний) рік, розрахованій відповідно до підпункту 14.1.262 пункту 14.1 статті 14 цього Кодексу;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податок на доходи фізичних осіб та військовий збір з доходів (чистого оподаткованого доходу) від продажу (реалізації) власної сільськогосподарської продукції (у разі переходу в податковому (звітному) році на спрощену систему оподаткування із загальної);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податок на доходи фізичних осіб та військовий збір з доходів фізичних осіб, які перебувають з платником єдиного податку третьої групи у трудових або цивільно-правових відносинах (крім доходів, сплачених за придбання товарів у фізичних осіб), у розмірі, пропорційному частці сільськогосподарського товаровиробництва такого платника за податковий (звітний) рік, розрахованій відповідно до підпункту 14.1.262 пункту 14.1 </w:t>
            </w:r>
            <w:r w:rsidRPr="0020280B">
              <w:rPr>
                <w:rFonts w:ascii="Times New Roman" w:hAnsi="Times New Roman" w:cs="Times New Roman"/>
                <w:sz w:val="26"/>
                <w:szCs w:val="26"/>
                <w:lang w:eastAsia="en-US"/>
              </w:rPr>
              <w:br/>
            </w:r>
            <w:r w:rsidRPr="0020280B">
              <w:rPr>
                <w:rFonts w:ascii="Times New Roman" w:hAnsi="Times New Roman" w:cs="Times New Roman"/>
                <w:sz w:val="26"/>
                <w:szCs w:val="26"/>
                <w:lang w:eastAsia="en-US"/>
              </w:rPr>
              <w:lastRenderedPageBreak/>
              <w:t xml:space="preserve">статті 14 цього Кодексу;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податок на доходи фізичних осіб та військовий збір з доходів фізичних осіб за договорами оренди, суборенди, емфітевзису земельних ділянок, віднесених до сільськогосподарських угідь, за податковий (звітний) рік;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земельний податок за земельні ділянки, віднесені до сільськогосподарських угідь, які використовуються такими платниками для здійснення підприємницької діяльності (у разі переходу в податковому (звітному) році на спрощену систему оподаткування із загальної);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рентна плата за спеціальне використання води (у разі її сплати) у розмірі, пропорційному частці сільськогосподарського товаровиробництва такого платника за податковий (звітний) рік, розрахованій відповідно до </w:t>
            </w:r>
            <w:r w:rsidRPr="0020280B">
              <w:rPr>
                <w:rFonts w:ascii="Times New Roman" w:hAnsi="Times New Roman" w:cs="Times New Roman"/>
                <w:sz w:val="26"/>
                <w:szCs w:val="26"/>
                <w:lang w:eastAsia="en-US"/>
              </w:rPr>
              <w:br/>
              <w:t xml:space="preserve">підпункту 14.1.262 пункту 14.1 статті 14 цього Кодексу;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20 відсотків  витрат на сплату орендної плати за віднесені до сільськогосподарських угідь земельні ділянки, орендодавцями яких є юридичні особи, та/або які перебувають у  державній чи комунальній власності.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У сумі сплачених податків, зборів, платежів та витрат на оренду земельних ділянок не враховуються помилково та/або надміру сплачені у податковому (звітному) році суми податків, зборів, платежів. </w:t>
            </w:r>
          </w:p>
          <w:p w:rsidR="004D6A2D" w:rsidRPr="0020280B" w:rsidRDefault="004D6A2D" w:rsidP="0020280B">
            <w:pPr>
              <w:spacing w:after="0" w:line="240" w:lineRule="auto"/>
              <w:rPr>
                <w:rFonts w:ascii="Times New Roman" w:hAnsi="Times New Roman" w:cs="Times New Roman"/>
                <w:sz w:val="26"/>
                <w:szCs w:val="26"/>
                <w:lang w:eastAsia="en-US"/>
              </w:rPr>
            </w:pPr>
          </w:p>
        </w:tc>
        <w:tc>
          <w:tcPr>
            <w:tcW w:w="5637" w:type="dxa"/>
          </w:tcPr>
          <w:p w:rsidR="004D6A2D" w:rsidRPr="0020280B" w:rsidRDefault="004D6A2D" w:rsidP="0020280B">
            <w:pPr>
              <w:spacing w:after="0" w:line="240" w:lineRule="auto"/>
              <w:jc w:val="both"/>
              <w:rPr>
                <w:rFonts w:ascii="Times New Roman" w:hAnsi="Times New Roman" w:cs="Times New Roman"/>
                <w:sz w:val="28"/>
                <w:szCs w:val="28"/>
                <w:lang w:eastAsia="en-US"/>
              </w:rPr>
            </w:pPr>
            <w:r w:rsidRPr="0020280B">
              <w:rPr>
                <w:rFonts w:ascii="Times New Roman" w:hAnsi="Times New Roman" w:cs="Times New Roman"/>
                <w:sz w:val="28"/>
                <w:szCs w:val="28"/>
                <w:lang w:eastAsia="en-US"/>
              </w:rPr>
              <w:lastRenderedPageBreak/>
              <w:t>- Набирає чинності з 1 січня 2022 року, при цьому першим роком, за який визначається мінімальне податкове зобов’язання, є 2022 рік</w:t>
            </w:r>
          </w:p>
          <w:p w:rsidR="004D6A2D" w:rsidRPr="0020280B" w:rsidRDefault="004D6A2D" w:rsidP="0020280B">
            <w:pPr>
              <w:spacing w:after="0" w:line="240" w:lineRule="auto"/>
              <w:jc w:val="both"/>
              <w:rPr>
                <w:rFonts w:ascii="Times New Roman" w:hAnsi="Times New Roman" w:cs="Times New Roman"/>
                <w:sz w:val="28"/>
                <w:szCs w:val="28"/>
                <w:lang w:eastAsia="en-US"/>
              </w:rPr>
            </w:pPr>
          </w:p>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 При обчисленні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за 2022 рік до загальної суми сплачених податків, зборів, платежів та витрат на оренду земельних ділянок, визначених підпунктами 141.9.2, 141.9.3 пункту 141.9 статті 141, пункту 177.15 статті 177, пунктів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.2,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.3,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.4,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.5 статті</w:t>
            </w:r>
            <w:r w:rsidRPr="0020280B">
              <w:rPr>
                <w:rFonts w:ascii="Times New Roman" w:hAnsi="Times New Roman" w:cs="Times New Roman"/>
                <w:sz w:val="28"/>
                <w:szCs w:val="28"/>
                <w:lang w:val="en-US" w:eastAsia="en-US"/>
              </w:rPr>
              <w:t> </w:t>
            </w:r>
            <w:r w:rsidRPr="0020280B">
              <w:rPr>
                <w:rFonts w:ascii="Times New Roman" w:hAnsi="Times New Roman" w:cs="Times New Roman"/>
                <w:sz w:val="28"/>
                <w:szCs w:val="28"/>
                <w:lang w:eastAsia="en-US"/>
              </w:rPr>
              <w:t>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 xml:space="preserve"> цього Кодексу, включаються суми податків, зборів, платежів, сплачених у 2021 році в рахунок податкових зобов’язань з цих податків, зборів, платежів 2022 року</w:t>
            </w: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lastRenderedPageBreak/>
              <w:t>Як обчислюється 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платниками єдиного податку податку четвертої групи , які провадять діяльність виключно в межах фермерського господарства, зареєстрованого відповідно до Закону України "Про фермерське господарство"</w:t>
            </w:r>
          </w:p>
        </w:tc>
      </w:tr>
      <w:tr w:rsidR="004D6A2D" w:rsidTr="0020280B">
        <w:tc>
          <w:tcPr>
            <w:tcW w:w="9889" w:type="dxa"/>
          </w:tcPr>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297</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.5. Для платників єдиного податку четвертої групи (юридичних осіб та фізичних осіб – підприємців, які провадять діяльність виключно в межах фермерського господарства, зареєстрованого відповідно до Закону України "Про фермерське господарство") 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обчислюється шляхом віднімання від загального мінімального податкового зобов’язання загальної суми сплачених протягом податкового (звітного) року податків, зборів, платежів та витрат на оренду земельних ділянок.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До суми сплачених податків, зборів, платежів та витрат на оренду земельних ділянок відносяться: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єдиний податок; податок на прибуток підприємств (у разі переходу в </w:t>
            </w:r>
            <w:r w:rsidRPr="0020280B">
              <w:rPr>
                <w:rFonts w:ascii="Times New Roman" w:hAnsi="Times New Roman" w:cs="Times New Roman"/>
                <w:sz w:val="26"/>
                <w:szCs w:val="26"/>
                <w:lang w:eastAsia="en-US"/>
              </w:rPr>
              <w:lastRenderedPageBreak/>
              <w:t>податковому (звітному) році на спрощену систему оподаткування із загальної);</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податок на доходи фізичних осіб та військовий збір з доходів (чистого оподаткованого доходу) від продажу (реалізації) власної сільськогосподарської продукції (у разі переходу в податковому (звітному) році на спрощену систему оподаткування із загальної);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податок на доходи фізичних осіб та військовий збір з доходів фізичних осіб, які перебувають з платником податку у трудових або цивільно-правових відносинах (крім доходів, сплачених за придбання товарів у фізичних осіб), з доходів за договорами оренди, суборенди, емфітевзису земельних ділянок сільськогосподарського призначення;</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земельний податок за земельні ділянки, віднесені до сільськогосподарських угідь, які використовуються такими платниками для здійснення підприємницької діяльності (у разі переходу в податковому (звітному) році на спрощену систему оподаткування із загальної);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рентна плата за спеціальне використання води (у разі її сплати);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20 відсотків витрат на сплату орендної плати за віднесені до сільськогосподарських угідь земельні ділянки, орендодавцями яких є юридичні особи, та/або які перебувають у державній чи комунальній власності.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У сумі сплачених податків, зборів, платежів та витрат на оренду земельних ділянок не враховуються помилково та/або надміру сплачені у податковому (звітному) році суми податків, зборів, платежів. </w:t>
            </w:r>
          </w:p>
          <w:p w:rsidR="004D6A2D" w:rsidRPr="0020280B" w:rsidRDefault="004D6A2D" w:rsidP="0020280B">
            <w:pPr>
              <w:spacing w:after="0" w:line="240" w:lineRule="auto"/>
              <w:ind w:firstLine="567"/>
              <w:rPr>
                <w:rFonts w:ascii="Times New Roman" w:hAnsi="Times New Roman" w:cs="Times New Roman"/>
                <w:sz w:val="26"/>
                <w:szCs w:val="26"/>
                <w:lang w:eastAsia="en-US"/>
              </w:rPr>
            </w:pPr>
          </w:p>
        </w:tc>
        <w:tc>
          <w:tcPr>
            <w:tcW w:w="5637" w:type="dxa"/>
          </w:tcPr>
          <w:p w:rsidR="004D6A2D" w:rsidRPr="0020280B" w:rsidRDefault="004D6A2D" w:rsidP="0020280B">
            <w:pPr>
              <w:spacing w:after="0" w:line="240" w:lineRule="auto"/>
              <w:jc w:val="both"/>
              <w:rPr>
                <w:rFonts w:ascii="Times New Roman" w:hAnsi="Times New Roman" w:cs="Times New Roman"/>
                <w:sz w:val="28"/>
                <w:szCs w:val="28"/>
                <w:lang w:eastAsia="en-US"/>
              </w:rPr>
            </w:pPr>
            <w:r w:rsidRPr="0020280B">
              <w:rPr>
                <w:rFonts w:ascii="Times New Roman" w:hAnsi="Times New Roman" w:cs="Times New Roman"/>
                <w:sz w:val="28"/>
                <w:szCs w:val="28"/>
                <w:lang w:eastAsia="en-US"/>
              </w:rPr>
              <w:lastRenderedPageBreak/>
              <w:t>- Набирає чинності з 1 січня 2022 року, при цьому першим роком, за який визначається мінімальне податкове зобов’язання, є 2022 рік</w:t>
            </w:r>
          </w:p>
          <w:p w:rsidR="004D6A2D" w:rsidRPr="0020280B" w:rsidRDefault="004D6A2D" w:rsidP="0020280B">
            <w:pPr>
              <w:spacing w:after="0" w:line="240" w:lineRule="auto"/>
              <w:jc w:val="both"/>
              <w:rPr>
                <w:rFonts w:ascii="Times New Roman" w:hAnsi="Times New Roman" w:cs="Times New Roman"/>
                <w:sz w:val="28"/>
                <w:szCs w:val="28"/>
                <w:lang w:eastAsia="en-US"/>
              </w:rPr>
            </w:pPr>
          </w:p>
          <w:p w:rsidR="004D6A2D" w:rsidRPr="0020280B" w:rsidRDefault="004D6A2D" w:rsidP="0020280B">
            <w:pPr>
              <w:spacing w:after="0" w:line="240" w:lineRule="auto"/>
              <w:jc w:val="both"/>
              <w:rPr>
                <w:rFonts w:ascii="Cambria" w:hAnsi="Cambria" w:cs="Times New Roman"/>
                <w:lang w:eastAsia="en-US"/>
              </w:rPr>
            </w:pPr>
            <w:r w:rsidRPr="0020280B">
              <w:rPr>
                <w:rFonts w:ascii="Times New Roman" w:hAnsi="Times New Roman" w:cs="Times New Roman"/>
                <w:sz w:val="28"/>
                <w:szCs w:val="28"/>
                <w:lang w:eastAsia="en-US"/>
              </w:rPr>
              <w:t xml:space="preserve">- При обчисленні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за 2022 рік до загальної суми сплачених податків, зборів, </w:t>
            </w:r>
            <w:r w:rsidRPr="0020280B">
              <w:rPr>
                <w:rFonts w:ascii="Times New Roman" w:hAnsi="Times New Roman" w:cs="Times New Roman"/>
                <w:sz w:val="28"/>
                <w:szCs w:val="28"/>
                <w:lang w:eastAsia="en-US"/>
              </w:rPr>
              <w:lastRenderedPageBreak/>
              <w:t>платежів та витрат на оренду земельних ділянок, визначених підпунктами 141.9.2, 141.9.3 пункту 141.9 статті 141, пункту 177.15 статті 177, пунктів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.2,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.3,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.4, 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.5 статті</w:t>
            </w:r>
            <w:r w:rsidRPr="0020280B">
              <w:rPr>
                <w:rFonts w:ascii="Times New Roman" w:hAnsi="Times New Roman" w:cs="Times New Roman"/>
                <w:sz w:val="28"/>
                <w:szCs w:val="28"/>
                <w:lang w:val="en-US" w:eastAsia="en-US"/>
              </w:rPr>
              <w:t> </w:t>
            </w:r>
            <w:r w:rsidRPr="0020280B">
              <w:rPr>
                <w:rFonts w:ascii="Times New Roman" w:hAnsi="Times New Roman" w:cs="Times New Roman"/>
                <w:sz w:val="28"/>
                <w:szCs w:val="28"/>
                <w:lang w:eastAsia="en-US"/>
              </w:rPr>
              <w:t>297</w:t>
            </w:r>
            <w:r w:rsidRPr="0020280B">
              <w:rPr>
                <w:rFonts w:ascii="Times New Roman" w:hAnsi="Times New Roman" w:cs="Times New Roman"/>
                <w:sz w:val="28"/>
                <w:szCs w:val="28"/>
                <w:vertAlign w:val="superscript"/>
                <w:lang w:eastAsia="en-US"/>
              </w:rPr>
              <w:t>1</w:t>
            </w:r>
            <w:r w:rsidRPr="0020280B">
              <w:rPr>
                <w:rFonts w:ascii="Times New Roman" w:hAnsi="Times New Roman" w:cs="Times New Roman"/>
                <w:sz w:val="28"/>
                <w:szCs w:val="28"/>
                <w:lang w:eastAsia="en-US"/>
              </w:rPr>
              <w:t xml:space="preserve"> цього Кодексу, включаються суми податків, зборів, платежів, сплачених у 2021 році в рахунок податкових зобов’язань з цих податків, зборів, платежів 2022 року.</w:t>
            </w: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lastRenderedPageBreak/>
              <w:t>Використання земельної ділянки на праві емфітевзису</w:t>
            </w:r>
          </w:p>
        </w:tc>
      </w:tr>
      <w:tr w:rsidR="004D6A2D" w:rsidTr="0020280B">
        <w:tc>
          <w:tcPr>
            <w:tcW w:w="9889" w:type="dxa"/>
          </w:tcPr>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297</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.6. У разі використання земельної ділянки на праві емфітевзису податок на доходи фізичних осіб та військовий збір, сплачені під час здійснення виплат за таким договором емфітевзису, щорічно враховуються у частці, розрахованій пропорційно до річної суми нарахованої амортизації на нематеріальний актив у вигляді права користування земельною ділянкою за договором емфітевзису. </w:t>
            </w: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t>Позитивне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збільшує суму єдиного податку, що підлягає сплаті до бюджету</w:t>
            </w:r>
          </w:p>
        </w:tc>
      </w:tr>
      <w:tr w:rsidR="004D6A2D" w:rsidTr="0020280B">
        <w:tc>
          <w:tcPr>
            <w:tcW w:w="9889" w:type="dxa"/>
          </w:tcPr>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297</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.7. При позитивному значенні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платник єдиного податку другої або третьої групи зобов’язаний збільшити визначену в податковій декларації за податковий </w:t>
            </w:r>
            <w:r w:rsidRPr="0020280B">
              <w:rPr>
                <w:rFonts w:ascii="Times New Roman" w:hAnsi="Times New Roman" w:cs="Times New Roman"/>
                <w:sz w:val="26"/>
                <w:szCs w:val="26"/>
                <w:lang w:eastAsia="en-US"/>
              </w:rPr>
              <w:lastRenderedPageBreak/>
              <w:t xml:space="preserve">(звітний) рік суму єдиного податку, що підлягає сплаті до бюджету, на суму такого позитивного значення.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 При позитивному значенні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платник єдиного податку четвертої групи зобов’язаний збільшити визначену в податковій декларації за наступний за звітним податковий (звітний) рік суму єдиного податку, що підлягає сплаті до бюджету, на суму такого позитивного значення.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 Для платників єдиного податку четвертої групи сума такого збільшення розподіляється між відповідними місцевими бюджетами та перераховується пропорційно частці земельних ділянок сільськогосподарського призначення, розташованих на території відповідної територіальної громади, у загальній площі таких земельних ділянок, власником або користувачем яких є платник податку. </w:t>
            </w:r>
          </w:p>
        </w:tc>
        <w:tc>
          <w:tcPr>
            <w:tcW w:w="5637" w:type="dxa"/>
          </w:tcPr>
          <w:p w:rsidR="004D6A2D" w:rsidRPr="0020280B" w:rsidRDefault="004D6A2D" w:rsidP="0020280B">
            <w:pPr>
              <w:spacing w:after="0" w:line="240" w:lineRule="auto"/>
              <w:rPr>
                <w:rFonts w:ascii="Cambria" w:hAnsi="Cambria" w:cs="Times New Roman"/>
                <w:lang w:eastAsia="en-US"/>
              </w:rPr>
            </w:pPr>
          </w:p>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 xml:space="preserve">Набирає чинності з 1 січня 2022 року, при цьому першим роком, за який визначається мінімальне податкове зобов’язання, є 2022 </w:t>
            </w:r>
            <w:r w:rsidRPr="0020280B">
              <w:rPr>
                <w:rFonts w:ascii="Times New Roman" w:hAnsi="Times New Roman" w:cs="Times New Roman"/>
                <w:sz w:val="28"/>
                <w:szCs w:val="28"/>
                <w:lang w:eastAsia="en-US"/>
              </w:rPr>
              <w:lastRenderedPageBreak/>
              <w:t>рік</w:t>
            </w:r>
          </w:p>
          <w:p w:rsidR="004D6A2D" w:rsidRPr="0020280B" w:rsidRDefault="004D6A2D" w:rsidP="0020280B">
            <w:pPr>
              <w:spacing w:after="0" w:line="240" w:lineRule="auto"/>
              <w:ind w:firstLine="720"/>
              <w:rPr>
                <w:rFonts w:ascii="Cambria" w:hAnsi="Cambria" w:cs="Times New Roman"/>
                <w:lang w:eastAsia="en-US"/>
              </w:rPr>
            </w:pPr>
          </w:p>
        </w:tc>
      </w:tr>
      <w:tr w:rsidR="004D6A2D" w:rsidTr="0020280B">
        <w:tc>
          <w:tcPr>
            <w:tcW w:w="15526" w:type="dxa"/>
            <w:gridSpan w:val="2"/>
          </w:tcPr>
          <w:p w:rsidR="004D6A2D" w:rsidRPr="0020280B" w:rsidRDefault="004D6A2D" w:rsidP="0020280B">
            <w:pPr>
              <w:spacing w:after="0" w:line="240" w:lineRule="auto"/>
              <w:jc w:val="center"/>
              <w:rPr>
                <w:rFonts w:ascii="Cambria" w:hAnsi="Cambria" w:cs="Times New Roman"/>
                <w:sz w:val="28"/>
                <w:szCs w:val="28"/>
                <w:lang w:eastAsia="en-US"/>
              </w:rPr>
            </w:pPr>
            <w:r w:rsidRPr="0020280B">
              <w:rPr>
                <w:rFonts w:ascii="Times New Roman" w:hAnsi="Times New Roman" w:cs="Times New Roman"/>
                <w:b/>
                <w:sz w:val="28"/>
                <w:szCs w:val="28"/>
                <w:lang w:eastAsia="en-US"/>
              </w:rPr>
              <w:lastRenderedPageBreak/>
              <w:t>Сума єдиного податку в частині позитивного значення різниці не враховується у загальній сумі сплачених податків, зборів, платежів та витрат на оренду земельних ділянок у наступному звітному році</w:t>
            </w:r>
          </w:p>
        </w:tc>
      </w:tr>
      <w:tr w:rsidR="004D6A2D" w:rsidTr="0020280B">
        <w:tc>
          <w:tcPr>
            <w:tcW w:w="9889" w:type="dxa"/>
          </w:tcPr>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297</w:t>
            </w:r>
            <w:r w:rsidRPr="0020280B">
              <w:rPr>
                <w:rFonts w:ascii="Times New Roman" w:hAnsi="Times New Roman" w:cs="Times New Roman"/>
                <w:sz w:val="26"/>
                <w:szCs w:val="26"/>
                <w:vertAlign w:val="superscript"/>
                <w:lang w:eastAsia="en-US"/>
              </w:rPr>
              <w:t>1</w:t>
            </w:r>
            <w:r w:rsidRPr="0020280B">
              <w:rPr>
                <w:rFonts w:ascii="Times New Roman" w:hAnsi="Times New Roman" w:cs="Times New Roman"/>
                <w:sz w:val="26"/>
                <w:szCs w:val="26"/>
                <w:lang w:eastAsia="en-US"/>
              </w:rPr>
              <w:t xml:space="preserve">.8. Сума єдиного податку в частині позитивного значення такої різниці не враховується у загальній сумі сплачених податків, зборів, платежів та витрат на оренду земельних ділянок у наступному податковому (звітному) році. </w:t>
            </w:r>
          </w:p>
          <w:p w:rsidR="004D6A2D" w:rsidRPr="0020280B" w:rsidRDefault="004D6A2D" w:rsidP="0020280B">
            <w:pPr>
              <w:spacing w:after="0" w:line="240" w:lineRule="auto"/>
              <w:ind w:firstLine="567"/>
              <w:jc w:val="both"/>
              <w:rPr>
                <w:rFonts w:ascii="Times New Roman" w:hAnsi="Times New Roman" w:cs="Times New Roman"/>
                <w:sz w:val="26"/>
                <w:szCs w:val="26"/>
                <w:lang w:eastAsia="en-US"/>
              </w:rPr>
            </w:pPr>
            <w:r w:rsidRPr="0020280B">
              <w:rPr>
                <w:rFonts w:ascii="Times New Roman" w:hAnsi="Times New Roman" w:cs="Times New Roman"/>
                <w:sz w:val="26"/>
                <w:szCs w:val="26"/>
                <w:lang w:eastAsia="en-US"/>
              </w:rPr>
              <w:t xml:space="preserve"> Позитивне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є частиною зобов’язань з єдиного податку</w:t>
            </w:r>
          </w:p>
          <w:p w:rsidR="004D6A2D" w:rsidRPr="0020280B" w:rsidRDefault="004D6A2D" w:rsidP="0020280B">
            <w:pPr>
              <w:spacing w:after="0" w:line="240" w:lineRule="auto"/>
              <w:ind w:firstLine="567"/>
              <w:rPr>
                <w:rFonts w:ascii="Times New Roman" w:hAnsi="Times New Roman" w:cs="Times New Roman"/>
                <w:sz w:val="26"/>
                <w:szCs w:val="26"/>
                <w:lang w:eastAsia="en-US"/>
              </w:rPr>
            </w:pPr>
          </w:p>
        </w:tc>
        <w:tc>
          <w:tcPr>
            <w:tcW w:w="5637" w:type="dxa"/>
          </w:tcPr>
          <w:p w:rsidR="004D6A2D" w:rsidRPr="0020280B" w:rsidRDefault="004D6A2D" w:rsidP="0020280B">
            <w:pPr>
              <w:spacing w:after="0" w:line="240" w:lineRule="auto"/>
              <w:rPr>
                <w:rFonts w:ascii="Cambria" w:hAnsi="Cambria" w:cs="Times New Roman"/>
                <w:lang w:eastAsia="en-US"/>
              </w:rPr>
            </w:pPr>
            <w:r w:rsidRPr="0020280B">
              <w:rPr>
                <w:rFonts w:ascii="Times New Roman" w:hAnsi="Times New Roman" w:cs="Times New Roman"/>
                <w:sz w:val="28"/>
                <w:szCs w:val="28"/>
                <w:lang w:eastAsia="en-US"/>
              </w:rPr>
              <w:t>Набирає чинності з 1 січня 2022 року, при цьому першим роком, за який визначається мінімальне податкове зобов’язання, є 2022 рік</w:t>
            </w:r>
          </w:p>
        </w:tc>
      </w:tr>
      <w:tr w:rsidR="004D6A2D" w:rsidTr="0020280B">
        <w:tc>
          <w:tcPr>
            <w:tcW w:w="15526" w:type="dxa"/>
            <w:gridSpan w:val="2"/>
          </w:tcPr>
          <w:p w:rsidR="004D6A2D" w:rsidRPr="0020280B" w:rsidRDefault="004D6A2D" w:rsidP="0020280B">
            <w:pPr>
              <w:spacing w:after="0" w:line="240" w:lineRule="auto"/>
              <w:jc w:val="center"/>
              <w:rPr>
                <w:rFonts w:ascii="Times New Roman" w:hAnsi="Times New Roman" w:cs="Times New Roman"/>
                <w:b/>
                <w:sz w:val="32"/>
                <w:szCs w:val="32"/>
                <w:lang w:eastAsia="en-US"/>
              </w:rPr>
            </w:pPr>
            <w:r w:rsidRPr="0020280B">
              <w:rPr>
                <w:rFonts w:ascii="Times New Roman" w:hAnsi="Times New Roman" w:cs="Times New Roman"/>
                <w:b/>
                <w:sz w:val="32"/>
                <w:szCs w:val="32"/>
                <w:lang w:eastAsia="en-US"/>
              </w:rPr>
              <w:t>Застосування штрафних санкцій</w:t>
            </w:r>
          </w:p>
        </w:tc>
      </w:tr>
      <w:tr w:rsidR="004D6A2D" w:rsidTr="0020280B">
        <w:tc>
          <w:tcPr>
            <w:tcW w:w="15526" w:type="dxa"/>
            <w:gridSpan w:val="2"/>
          </w:tcPr>
          <w:p w:rsidR="004D6A2D" w:rsidRPr="0020280B" w:rsidRDefault="004D6A2D" w:rsidP="0020280B">
            <w:pPr>
              <w:spacing w:after="120" w:line="240" w:lineRule="auto"/>
              <w:ind w:firstLine="709"/>
              <w:jc w:val="both"/>
              <w:rPr>
                <w:rFonts w:ascii="Cambria" w:hAnsi="Cambria" w:cs="Times New Roman"/>
                <w:lang w:eastAsia="en-US"/>
              </w:rPr>
            </w:pPr>
            <w:r w:rsidRPr="0020280B">
              <w:rPr>
                <w:rFonts w:ascii="Times New Roman" w:hAnsi="Times New Roman" w:cs="Times New Roman"/>
                <w:sz w:val="28"/>
                <w:szCs w:val="28"/>
                <w:lang w:eastAsia="en-US"/>
              </w:rPr>
              <w:t>Установити, що штрафні санкції, передбачені статтею 123 цього Кодексу, при визначенні податкових зобов’язань платників податків з урахуванням мінімального податкового зобов’язання за 2022 рік, а також штрафні санкції, передбачені статтею 124 цього Кодексу за несвоєчасну сплату узгодженого податкового зобов’язання з податку на доходи фізичних осіб, розрахованого контролюючим органом з урахуванням загального мінімального податкового зобов’язання за 2022 рік, не застосовуються.</w:t>
            </w:r>
          </w:p>
        </w:tc>
      </w:tr>
    </w:tbl>
    <w:p w:rsidR="004D6A2D" w:rsidRPr="00946C36" w:rsidRDefault="004D6A2D" w:rsidP="00A02F0C"/>
    <w:p w:rsidR="004D6A2D" w:rsidRDefault="004D6A2D" w:rsidP="002E6F6A">
      <w:pPr>
        <w:tabs>
          <w:tab w:val="left" w:pos="13203"/>
        </w:tabs>
      </w:pPr>
    </w:p>
    <w:sectPr w:rsidR="004D6A2D" w:rsidSect="00EF7373">
      <w:headerReference w:type="default" r:id="rId8"/>
      <w:footerReference w:type="default" r:id="rId9"/>
      <w:pgSz w:w="16840" w:h="11907" w:orient="landscape"/>
      <w:pgMar w:top="-568" w:right="680" w:bottom="567" w:left="850" w:header="272" w:footer="24" w:gutter="0"/>
      <w:pgNumType w:start="1"/>
      <w:cols w:space="720"/>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A2D" w:rsidRDefault="004D6A2D">
      <w:pPr>
        <w:spacing w:after="0" w:line="240" w:lineRule="auto"/>
      </w:pPr>
      <w:r>
        <w:separator/>
      </w:r>
    </w:p>
  </w:endnote>
  <w:endnote w:type="continuationSeparator" w:id="0">
    <w:p w:rsidR="004D6A2D" w:rsidRDefault="004D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ohit Devanagari">
    <w:altName w:val="Cambria"/>
    <w:panose1 w:val="00000000000000000000"/>
    <w:charset w:val="00"/>
    <w:family w:val="roman"/>
    <w:notTrueType/>
    <w:pitch w:val="default"/>
    <w:sig w:usb0="00000003" w:usb1="00000000" w:usb2="00000000" w:usb3="00000000" w:csb0="00000001" w:csb1="00000000"/>
  </w:font>
  <w:font w:name="Antiqua">
    <w:altName w:val="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A2D" w:rsidRDefault="009B751C">
    <w:pPr>
      <w:pStyle w:val="ae"/>
      <w:jc w:val="center"/>
    </w:pPr>
    <w:r>
      <w:fldChar w:fldCharType="begin"/>
    </w:r>
    <w:r>
      <w:instrText>PAGE   \* MERGEFORMAT</w:instrText>
    </w:r>
    <w:r>
      <w:fldChar w:fldCharType="separate"/>
    </w:r>
    <w:r w:rsidRPr="009B751C">
      <w:rPr>
        <w:noProof/>
        <w:lang w:val="ru-RU"/>
      </w:rPr>
      <w:t>9</w:t>
    </w:r>
    <w:r>
      <w:rPr>
        <w:noProof/>
        <w:lang w:val="ru-RU"/>
      </w:rPr>
      <w:fldChar w:fldCharType="end"/>
    </w:r>
  </w:p>
  <w:p w:rsidR="004D6A2D" w:rsidRDefault="004D6A2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A2D" w:rsidRDefault="004D6A2D">
      <w:pPr>
        <w:spacing w:after="0" w:line="240" w:lineRule="auto"/>
      </w:pPr>
      <w:r>
        <w:separator/>
      </w:r>
    </w:p>
  </w:footnote>
  <w:footnote w:type="continuationSeparator" w:id="0">
    <w:p w:rsidR="004D6A2D" w:rsidRDefault="004D6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A2D" w:rsidRDefault="004D6A2D">
    <w:pPr>
      <w:pStyle w:val="ac"/>
    </w:pPr>
  </w:p>
  <w:p w:rsidR="004D6A2D" w:rsidRDefault="004D6A2D">
    <w:pPr>
      <w:pStyle w:val="ac"/>
    </w:pPr>
  </w:p>
  <w:p w:rsidR="004D6A2D" w:rsidRDefault="004D6A2D">
    <w:pPr>
      <w:tabs>
        <w:tab w:val="center" w:pos="4819"/>
        <w:tab w:val="right" w:pos="9639"/>
      </w:tabs>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5337"/>
    <w:multiLevelType w:val="multilevel"/>
    <w:tmpl w:val="7798A6CE"/>
    <w:lvl w:ilvl="0">
      <w:start w:val="1"/>
      <w:numFmt w:val="bullet"/>
      <w:lvlText w:val="-"/>
      <w:lvlJc w:val="left"/>
      <w:pPr>
        <w:ind w:left="666" w:hanging="360"/>
      </w:pPr>
      <w:rPr>
        <w:rFonts w:ascii="Times New Roman" w:eastAsia="Times New Roman" w:hAnsi="Times New Roman"/>
        <w:b/>
        <w:i w:val="0"/>
        <w:smallCaps w:val="0"/>
        <w:strike w:val="0"/>
        <w:color w:val="000000"/>
        <w:sz w:val="20"/>
        <w:u w:val="none"/>
        <w:vertAlign w:val="baseline"/>
      </w:rPr>
    </w:lvl>
    <w:lvl w:ilvl="1">
      <w:start w:val="1"/>
      <w:numFmt w:val="bullet"/>
      <w:lvlText w:val="○"/>
      <w:lvlJc w:val="left"/>
      <w:pPr>
        <w:ind w:left="1386"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06"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26"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546"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266"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4986"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06"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26" w:hanging="360"/>
      </w:pPr>
      <w:rPr>
        <w:rFonts w:ascii="Verdana" w:eastAsia="Times New Roman" w:hAnsi="Verdana"/>
        <w:b w:val="0"/>
        <w:i w:val="0"/>
        <w:smallCaps w:val="0"/>
        <w:strike w:val="0"/>
        <w:color w:val="000000"/>
        <w:sz w:val="20"/>
        <w:u w:val="none"/>
        <w:vertAlign w:val="baseline"/>
      </w:rPr>
    </w:lvl>
  </w:abstractNum>
  <w:abstractNum w:abstractNumId="1">
    <w:nsid w:val="27A945F4"/>
    <w:multiLevelType w:val="hybridMultilevel"/>
    <w:tmpl w:val="DA44E6C8"/>
    <w:lvl w:ilvl="0" w:tplc="AE50D466">
      <w:start w:val="4"/>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6EEE5D7B"/>
    <w:multiLevelType w:val="multilevel"/>
    <w:tmpl w:val="22265928"/>
    <w:lvl w:ilvl="0">
      <w:start w:val="1"/>
      <w:numFmt w:val="bullet"/>
      <w:lvlText w:val="-"/>
      <w:lvlJc w:val="left"/>
      <w:pPr>
        <w:ind w:left="666" w:hanging="360"/>
      </w:pPr>
      <w:rPr>
        <w:rFonts w:ascii="Times New Roman" w:eastAsia="Times New Roman" w:hAnsi="Times New Roman"/>
        <w:b/>
        <w:i w:val="0"/>
        <w:smallCaps w:val="0"/>
        <w:strike w:val="0"/>
        <w:color w:val="000000"/>
        <w:sz w:val="20"/>
        <w:u w:val="none"/>
        <w:vertAlign w:val="baseline"/>
      </w:rPr>
    </w:lvl>
    <w:lvl w:ilvl="1">
      <w:start w:val="1"/>
      <w:numFmt w:val="bullet"/>
      <w:lvlText w:val="○"/>
      <w:lvlJc w:val="left"/>
      <w:pPr>
        <w:ind w:left="1386"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06"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26"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546"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266"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4986"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06"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26" w:hanging="360"/>
      </w:pPr>
      <w:rPr>
        <w:rFonts w:ascii="Verdana" w:eastAsia="Times New Roman" w:hAnsi="Verdana"/>
        <w:b w:val="0"/>
        <w:i w:val="0"/>
        <w:smallCaps w:val="0"/>
        <w:strike w:val="0"/>
        <w:color w:val="000000"/>
        <w:sz w:val="20"/>
        <w:u w:val="none"/>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C72"/>
    <w:rsid w:val="000049B3"/>
    <w:rsid w:val="000110B5"/>
    <w:rsid w:val="00011A0C"/>
    <w:rsid w:val="00011C28"/>
    <w:rsid w:val="0001216E"/>
    <w:rsid w:val="00025BD5"/>
    <w:rsid w:val="00026F3B"/>
    <w:rsid w:val="00032A04"/>
    <w:rsid w:val="00033541"/>
    <w:rsid w:val="00036A3A"/>
    <w:rsid w:val="000426CD"/>
    <w:rsid w:val="00051303"/>
    <w:rsid w:val="000520E0"/>
    <w:rsid w:val="00053C44"/>
    <w:rsid w:val="000557B7"/>
    <w:rsid w:val="00056529"/>
    <w:rsid w:val="0006034B"/>
    <w:rsid w:val="0006065E"/>
    <w:rsid w:val="00064015"/>
    <w:rsid w:val="00064560"/>
    <w:rsid w:val="00065C4F"/>
    <w:rsid w:val="00067EB9"/>
    <w:rsid w:val="00086BCD"/>
    <w:rsid w:val="00092616"/>
    <w:rsid w:val="000931D9"/>
    <w:rsid w:val="000A0C1A"/>
    <w:rsid w:val="000A2805"/>
    <w:rsid w:val="000A553F"/>
    <w:rsid w:val="000B0D55"/>
    <w:rsid w:val="000B558E"/>
    <w:rsid w:val="000C287D"/>
    <w:rsid w:val="000F31D3"/>
    <w:rsid w:val="000F5C84"/>
    <w:rsid w:val="0010029D"/>
    <w:rsid w:val="00110E97"/>
    <w:rsid w:val="001129CE"/>
    <w:rsid w:val="001252E9"/>
    <w:rsid w:val="001255FC"/>
    <w:rsid w:val="00127335"/>
    <w:rsid w:val="00136014"/>
    <w:rsid w:val="001407DD"/>
    <w:rsid w:val="00145396"/>
    <w:rsid w:val="001464DD"/>
    <w:rsid w:val="00154A2A"/>
    <w:rsid w:val="001550CF"/>
    <w:rsid w:val="00155A5F"/>
    <w:rsid w:val="001602D1"/>
    <w:rsid w:val="001624A2"/>
    <w:rsid w:val="00170876"/>
    <w:rsid w:val="00170F72"/>
    <w:rsid w:val="00172D33"/>
    <w:rsid w:val="00177BB9"/>
    <w:rsid w:val="00181510"/>
    <w:rsid w:val="001815FD"/>
    <w:rsid w:val="0018212B"/>
    <w:rsid w:val="001853D1"/>
    <w:rsid w:val="00195849"/>
    <w:rsid w:val="001A1E4A"/>
    <w:rsid w:val="001A66E9"/>
    <w:rsid w:val="001B0D40"/>
    <w:rsid w:val="001B11C0"/>
    <w:rsid w:val="001B4174"/>
    <w:rsid w:val="001C3354"/>
    <w:rsid w:val="001D37AF"/>
    <w:rsid w:val="001D7710"/>
    <w:rsid w:val="001E099F"/>
    <w:rsid w:val="001E5D6C"/>
    <w:rsid w:val="001E69C5"/>
    <w:rsid w:val="001E751B"/>
    <w:rsid w:val="001F04C0"/>
    <w:rsid w:val="00201C01"/>
    <w:rsid w:val="0020280B"/>
    <w:rsid w:val="00203BD7"/>
    <w:rsid w:val="002065C8"/>
    <w:rsid w:val="00210545"/>
    <w:rsid w:val="002114D5"/>
    <w:rsid w:val="002122D6"/>
    <w:rsid w:val="002136A4"/>
    <w:rsid w:val="00222990"/>
    <w:rsid w:val="002235B4"/>
    <w:rsid w:val="00224B39"/>
    <w:rsid w:val="0022562D"/>
    <w:rsid w:val="00230A4F"/>
    <w:rsid w:val="00237C82"/>
    <w:rsid w:val="0024006C"/>
    <w:rsid w:val="002414E9"/>
    <w:rsid w:val="0024554F"/>
    <w:rsid w:val="00246B8B"/>
    <w:rsid w:val="00260E3C"/>
    <w:rsid w:val="00272FBE"/>
    <w:rsid w:val="00273199"/>
    <w:rsid w:val="0027324E"/>
    <w:rsid w:val="00273B0B"/>
    <w:rsid w:val="00275035"/>
    <w:rsid w:val="00275BD1"/>
    <w:rsid w:val="00286C7E"/>
    <w:rsid w:val="0028723B"/>
    <w:rsid w:val="00293BA8"/>
    <w:rsid w:val="002A2FDA"/>
    <w:rsid w:val="002A3D4F"/>
    <w:rsid w:val="002B1DCE"/>
    <w:rsid w:val="002B364A"/>
    <w:rsid w:val="002B38A6"/>
    <w:rsid w:val="002B6C04"/>
    <w:rsid w:val="002C4CDB"/>
    <w:rsid w:val="002D0CF5"/>
    <w:rsid w:val="002D3BF3"/>
    <w:rsid w:val="002D3E52"/>
    <w:rsid w:val="002D6CA1"/>
    <w:rsid w:val="002E089E"/>
    <w:rsid w:val="002E4AF5"/>
    <w:rsid w:val="002E6B6A"/>
    <w:rsid w:val="002E6DA0"/>
    <w:rsid w:val="002E6F6A"/>
    <w:rsid w:val="002F16DA"/>
    <w:rsid w:val="00312CDA"/>
    <w:rsid w:val="003132A1"/>
    <w:rsid w:val="003147FA"/>
    <w:rsid w:val="00316C3E"/>
    <w:rsid w:val="00325303"/>
    <w:rsid w:val="00326F82"/>
    <w:rsid w:val="003300EF"/>
    <w:rsid w:val="00351366"/>
    <w:rsid w:val="00356EF9"/>
    <w:rsid w:val="0035732A"/>
    <w:rsid w:val="0036244E"/>
    <w:rsid w:val="00363431"/>
    <w:rsid w:val="00366919"/>
    <w:rsid w:val="00367526"/>
    <w:rsid w:val="00370AF4"/>
    <w:rsid w:val="00375A81"/>
    <w:rsid w:val="00376FD2"/>
    <w:rsid w:val="00381C5F"/>
    <w:rsid w:val="00381D90"/>
    <w:rsid w:val="00392B70"/>
    <w:rsid w:val="0039770D"/>
    <w:rsid w:val="00397D6B"/>
    <w:rsid w:val="003A0F27"/>
    <w:rsid w:val="003A18C3"/>
    <w:rsid w:val="003A1A7C"/>
    <w:rsid w:val="003A24CA"/>
    <w:rsid w:val="003A5E74"/>
    <w:rsid w:val="003B0F0B"/>
    <w:rsid w:val="003B2FE6"/>
    <w:rsid w:val="003B4356"/>
    <w:rsid w:val="003C2FBC"/>
    <w:rsid w:val="003C4486"/>
    <w:rsid w:val="003C4F28"/>
    <w:rsid w:val="003D1AB6"/>
    <w:rsid w:val="003D2C6A"/>
    <w:rsid w:val="003D3736"/>
    <w:rsid w:val="003E3D2D"/>
    <w:rsid w:val="003F302E"/>
    <w:rsid w:val="003F58F4"/>
    <w:rsid w:val="003F6D47"/>
    <w:rsid w:val="00402FC2"/>
    <w:rsid w:val="004057DE"/>
    <w:rsid w:val="00407D27"/>
    <w:rsid w:val="00411716"/>
    <w:rsid w:val="0041247E"/>
    <w:rsid w:val="00412A1E"/>
    <w:rsid w:val="004142C0"/>
    <w:rsid w:val="00414D57"/>
    <w:rsid w:val="00415484"/>
    <w:rsid w:val="00416498"/>
    <w:rsid w:val="00416730"/>
    <w:rsid w:val="004270A3"/>
    <w:rsid w:val="00427F91"/>
    <w:rsid w:val="0043125D"/>
    <w:rsid w:val="00442434"/>
    <w:rsid w:val="00446C5F"/>
    <w:rsid w:val="00447EDB"/>
    <w:rsid w:val="00471D23"/>
    <w:rsid w:val="00484DB6"/>
    <w:rsid w:val="00485E4A"/>
    <w:rsid w:val="004917E9"/>
    <w:rsid w:val="00491FE5"/>
    <w:rsid w:val="004A23F9"/>
    <w:rsid w:val="004A6873"/>
    <w:rsid w:val="004B2F19"/>
    <w:rsid w:val="004B3927"/>
    <w:rsid w:val="004B66C3"/>
    <w:rsid w:val="004C42EA"/>
    <w:rsid w:val="004D089A"/>
    <w:rsid w:val="004D5B39"/>
    <w:rsid w:val="004D6A2D"/>
    <w:rsid w:val="004E1299"/>
    <w:rsid w:val="004E567D"/>
    <w:rsid w:val="004F0C8F"/>
    <w:rsid w:val="004F3B77"/>
    <w:rsid w:val="0050011E"/>
    <w:rsid w:val="00500A98"/>
    <w:rsid w:val="00503345"/>
    <w:rsid w:val="00503DB8"/>
    <w:rsid w:val="005051D7"/>
    <w:rsid w:val="005073A1"/>
    <w:rsid w:val="00511E9C"/>
    <w:rsid w:val="005140C4"/>
    <w:rsid w:val="00514484"/>
    <w:rsid w:val="005153B9"/>
    <w:rsid w:val="00522D82"/>
    <w:rsid w:val="00542647"/>
    <w:rsid w:val="00544B64"/>
    <w:rsid w:val="00545B61"/>
    <w:rsid w:val="00560585"/>
    <w:rsid w:val="0056183B"/>
    <w:rsid w:val="00562765"/>
    <w:rsid w:val="0056335A"/>
    <w:rsid w:val="00563913"/>
    <w:rsid w:val="0056483A"/>
    <w:rsid w:val="00571D2A"/>
    <w:rsid w:val="00574ECE"/>
    <w:rsid w:val="00581DE1"/>
    <w:rsid w:val="00583516"/>
    <w:rsid w:val="005835AD"/>
    <w:rsid w:val="005901AD"/>
    <w:rsid w:val="0059030F"/>
    <w:rsid w:val="00590ADF"/>
    <w:rsid w:val="0059300B"/>
    <w:rsid w:val="005954C3"/>
    <w:rsid w:val="005A2B98"/>
    <w:rsid w:val="005A3873"/>
    <w:rsid w:val="005A7AE5"/>
    <w:rsid w:val="005C591E"/>
    <w:rsid w:val="005C795F"/>
    <w:rsid w:val="005C7967"/>
    <w:rsid w:val="005E0F26"/>
    <w:rsid w:val="005E3582"/>
    <w:rsid w:val="005E4E28"/>
    <w:rsid w:val="005E632D"/>
    <w:rsid w:val="005E6C33"/>
    <w:rsid w:val="005E70E1"/>
    <w:rsid w:val="005F2085"/>
    <w:rsid w:val="005F4BDB"/>
    <w:rsid w:val="005F5201"/>
    <w:rsid w:val="005F79C7"/>
    <w:rsid w:val="00601926"/>
    <w:rsid w:val="00602E2B"/>
    <w:rsid w:val="00602F04"/>
    <w:rsid w:val="006033AD"/>
    <w:rsid w:val="00603CA8"/>
    <w:rsid w:val="00603CB7"/>
    <w:rsid w:val="00610618"/>
    <w:rsid w:val="00611D43"/>
    <w:rsid w:val="00615706"/>
    <w:rsid w:val="006277DC"/>
    <w:rsid w:val="00631BCE"/>
    <w:rsid w:val="00641ED9"/>
    <w:rsid w:val="00642DBE"/>
    <w:rsid w:val="00644CD3"/>
    <w:rsid w:val="00644D40"/>
    <w:rsid w:val="0065192C"/>
    <w:rsid w:val="00651B25"/>
    <w:rsid w:val="00662BE7"/>
    <w:rsid w:val="00677DB2"/>
    <w:rsid w:val="00683D20"/>
    <w:rsid w:val="006902D5"/>
    <w:rsid w:val="00692544"/>
    <w:rsid w:val="00692DBA"/>
    <w:rsid w:val="00695578"/>
    <w:rsid w:val="006A0356"/>
    <w:rsid w:val="006A0B3E"/>
    <w:rsid w:val="006A0D5A"/>
    <w:rsid w:val="006A2B3C"/>
    <w:rsid w:val="006A3A3B"/>
    <w:rsid w:val="006A7D7F"/>
    <w:rsid w:val="006B007D"/>
    <w:rsid w:val="006B0FF0"/>
    <w:rsid w:val="006B248E"/>
    <w:rsid w:val="006B55D4"/>
    <w:rsid w:val="006C0B4F"/>
    <w:rsid w:val="006C1476"/>
    <w:rsid w:val="006C23A2"/>
    <w:rsid w:val="006C70B8"/>
    <w:rsid w:val="006D1FCB"/>
    <w:rsid w:val="006D48B0"/>
    <w:rsid w:val="006D581C"/>
    <w:rsid w:val="006D5B0F"/>
    <w:rsid w:val="006F0AA5"/>
    <w:rsid w:val="006F7A39"/>
    <w:rsid w:val="0070090E"/>
    <w:rsid w:val="00710419"/>
    <w:rsid w:val="00721AEC"/>
    <w:rsid w:val="00722887"/>
    <w:rsid w:val="00724186"/>
    <w:rsid w:val="00737410"/>
    <w:rsid w:val="00744557"/>
    <w:rsid w:val="00744DD1"/>
    <w:rsid w:val="007461A0"/>
    <w:rsid w:val="0075192B"/>
    <w:rsid w:val="007521FD"/>
    <w:rsid w:val="00764356"/>
    <w:rsid w:val="00764703"/>
    <w:rsid w:val="007709DF"/>
    <w:rsid w:val="00771084"/>
    <w:rsid w:val="00775F63"/>
    <w:rsid w:val="007779B7"/>
    <w:rsid w:val="00780EF7"/>
    <w:rsid w:val="0078476C"/>
    <w:rsid w:val="00786540"/>
    <w:rsid w:val="00787B43"/>
    <w:rsid w:val="00790FD2"/>
    <w:rsid w:val="00791C3A"/>
    <w:rsid w:val="00791F41"/>
    <w:rsid w:val="007A09DC"/>
    <w:rsid w:val="007A5186"/>
    <w:rsid w:val="007A5400"/>
    <w:rsid w:val="007B03EC"/>
    <w:rsid w:val="007B18FB"/>
    <w:rsid w:val="007B3DE8"/>
    <w:rsid w:val="007B6FD3"/>
    <w:rsid w:val="007B76A4"/>
    <w:rsid w:val="007C027D"/>
    <w:rsid w:val="007C165D"/>
    <w:rsid w:val="007D0438"/>
    <w:rsid w:val="007D3C33"/>
    <w:rsid w:val="007D6C1E"/>
    <w:rsid w:val="007E694A"/>
    <w:rsid w:val="007E6D58"/>
    <w:rsid w:val="007F66DD"/>
    <w:rsid w:val="008041B7"/>
    <w:rsid w:val="008062AE"/>
    <w:rsid w:val="008076FE"/>
    <w:rsid w:val="0081266B"/>
    <w:rsid w:val="00812C32"/>
    <w:rsid w:val="00812C79"/>
    <w:rsid w:val="0081380F"/>
    <w:rsid w:val="00821668"/>
    <w:rsid w:val="00824698"/>
    <w:rsid w:val="00833A24"/>
    <w:rsid w:val="0083432B"/>
    <w:rsid w:val="008420B9"/>
    <w:rsid w:val="00843350"/>
    <w:rsid w:val="00843F88"/>
    <w:rsid w:val="00854DCF"/>
    <w:rsid w:val="00856017"/>
    <w:rsid w:val="00875525"/>
    <w:rsid w:val="0089101B"/>
    <w:rsid w:val="00893188"/>
    <w:rsid w:val="00894D66"/>
    <w:rsid w:val="00896144"/>
    <w:rsid w:val="00896555"/>
    <w:rsid w:val="008A2A5A"/>
    <w:rsid w:val="008A35E4"/>
    <w:rsid w:val="008A370C"/>
    <w:rsid w:val="008A3F5B"/>
    <w:rsid w:val="008B1DC2"/>
    <w:rsid w:val="008B51B3"/>
    <w:rsid w:val="008B6C86"/>
    <w:rsid w:val="008D1837"/>
    <w:rsid w:val="008D4F5F"/>
    <w:rsid w:val="008E04DA"/>
    <w:rsid w:val="008E17D2"/>
    <w:rsid w:val="008E2F67"/>
    <w:rsid w:val="008E3D57"/>
    <w:rsid w:val="008E5D13"/>
    <w:rsid w:val="008E768B"/>
    <w:rsid w:val="008F23EE"/>
    <w:rsid w:val="008F31D2"/>
    <w:rsid w:val="008F3EC2"/>
    <w:rsid w:val="00910510"/>
    <w:rsid w:val="0091405B"/>
    <w:rsid w:val="00915E20"/>
    <w:rsid w:val="009313BE"/>
    <w:rsid w:val="009324DE"/>
    <w:rsid w:val="00933662"/>
    <w:rsid w:val="009441BF"/>
    <w:rsid w:val="009454D8"/>
    <w:rsid w:val="00946C36"/>
    <w:rsid w:val="00946FE1"/>
    <w:rsid w:val="009524A2"/>
    <w:rsid w:val="00956093"/>
    <w:rsid w:val="009602D8"/>
    <w:rsid w:val="0096245E"/>
    <w:rsid w:val="0096754E"/>
    <w:rsid w:val="00970AD0"/>
    <w:rsid w:val="00981B2C"/>
    <w:rsid w:val="00985BF2"/>
    <w:rsid w:val="00985F63"/>
    <w:rsid w:val="0099024A"/>
    <w:rsid w:val="00992DB3"/>
    <w:rsid w:val="00994C3E"/>
    <w:rsid w:val="009956F2"/>
    <w:rsid w:val="009A4575"/>
    <w:rsid w:val="009A544E"/>
    <w:rsid w:val="009A57CD"/>
    <w:rsid w:val="009A6497"/>
    <w:rsid w:val="009A68AE"/>
    <w:rsid w:val="009B26A8"/>
    <w:rsid w:val="009B26E3"/>
    <w:rsid w:val="009B3A64"/>
    <w:rsid w:val="009B751C"/>
    <w:rsid w:val="009B798E"/>
    <w:rsid w:val="009D2A87"/>
    <w:rsid w:val="009D2EA4"/>
    <w:rsid w:val="009D312F"/>
    <w:rsid w:val="009D46A5"/>
    <w:rsid w:val="009D47B5"/>
    <w:rsid w:val="009D4C5B"/>
    <w:rsid w:val="009D546B"/>
    <w:rsid w:val="009E059B"/>
    <w:rsid w:val="009E46FB"/>
    <w:rsid w:val="009E5764"/>
    <w:rsid w:val="009F45F3"/>
    <w:rsid w:val="009F63C9"/>
    <w:rsid w:val="009F6549"/>
    <w:rsid w:val="009F7B6B"/>
    <w:rsid w:val="00A02F0C"/>
    <w:rsid w:val="00A04B84"/>
    <w:rsid w:val="00A1536A"/>
    <w:rsid w:val="00A20712"/>
    <w:rsid w:val="00A216D2"/>
    <w:rsid w:val="00A26539"/>
    <w:rsid w:val="00A2672D"/>
    <w:rsid w:val="00A27F26"/>
    <w:rsid w:val="00A3174B"/>
    <w:rsid w:val="00A33851"/>
    <w:rsid w:val="00A3553F"/>
    <w:rsid w:val="00A46885"/>
    <w:rsid w:val="00A545ED"/>
    <w:rsid w:val="00A60F98"/>
    <w:rsid w:val="00A6413B"/>
    <w:rsid w:val="00A67302"/>
    <w:rsid w:val="00A67E34"/>
    <w:rsid w:val="00A71F3D"/>
    <w:rsid w:val="00A72559"/>
    <w:rsid w:val="00A808FF"/>
    <w:rsid w:val="00A80B4A"/>
    <w:rsid w:val="00A91D8C"/>
    <w:rsid w:val="00A9276E"/>
    <w:rsid w:val="00AA5B3B"/>
    <w:rsid w:val="00AA741D"/>
    <w:rsid w:val="00AB0563"/>
    <w:rsid w:val="00AC4AA2"/>
    <w:rsid w:val="00AD3FF2"/>
    <w:rsid w:val="00AD4A42"/>
    <w:rsid w:val="00AE035A"/>
    <w:rsid w:val="00AE0999"/>
    <w:rsid w:val="00AE568C"/>
    <w:rsid w:val="00B152AC"/>
    <w:rsid w:val="00B1692B"/>
    <w:rsid w:val="00B235BF"/>
    <w:rsid w:val="00B25AC3"/>
    <w:rsid w:val="00B31C06"/>
    <w:rsid w:val="00B32098"/>
    <w:rsid w:val="00B45685"/>
    <w:rsid w:val="00B45EF4"/>
    <w:rsid w:val="00B53E57"/>
    <w:rsid w:val="00B555BD"/>
    <w:rsid w:val="00B560C2"/>
    <w:rsid w:val="00B606A0"/>
    <w:rsid w:val="00B6614B"/>
    <w:rsid w:val="00B7097F"/>
    <w:rsid w:val="00B74AD2"/>
    <w:rsid w:val="00B77250"/>
    <w:rsid w:val="00B8006C"/>
    <w:rsid w:val="00B81174"/>
    <w:rsid w:val="00B87C0D"/>
    <w:rsid w:val="00B93B23"/>
    <w:rsid w:val="00BA62A1"/>
    <w:rsid w:val="00BB0FE9"/>
    <w:rsid w:val="00BC0D5C"/>
    <w:rsid w:val="00BC443D"/>
    <w:rsid w:val="00BC5C1B"/>
    <w:rsid w:val="00BD37BE"/>
    <w:rsid w:val="00BD5C0E"/>
    <w:rsid w:val="00BD6EBA"/>
    <w:rsid w:val="00BD733D"/>
    <w:rsid w:val="00BE0153"/>
    <w:rsid w:val="00BE1008"/>
    <w:rsid w:val="00BE3517"/>
    <w:rsid w:val="00BE5A0C"/>
    <w:rsid w:val="00BE5D0E"/>
    <w:rsid w:val="00BE7D76"/>
    <w:rsid w:val="00BF38CD"/>
    <w:rsid w:val="00BF6204"/>
    <w:rsid w:val="00C10F2C"/>
    <w:rsid w:val="00C135F9"/>
    <w:rsid w:val="00C16FD8"/>
    <w:rsid w:val="00C1723D"/>
    <w:rsid w:val="00C22822"/>
    <w:rsid w:val="00C232DF"/>
    <w:rsid w:val="00C30B74"/>
    <w:rsid w:val="00C313EF"/>
    <w:rsid w:val="00C34CC8"/>
    <w:rsid w:val="00C360C5"/>
    <w:rsid w:val="00C37307"/>
    <w:rsid w:val="00C4109D"/>
    <w:rsid w:val="00C41F26"/>
    <w:rsid w:val="00C474BC"/>
    <w:rsid w:val="00C57BFF"/>
    <w:rsid w:val="00C636A4"/>
    <w:rsid w:val="00C64F47"/>
    <w:rsid w:val="00C75648"/>
    <w:rsid w:val="00C8099D"/>
    <w:rsid w:val="00C84388"/>
    <w:rsid w:val="00C8772B"/>
    <w:rsid w:val="00C92739"/>
    <w:rsid w:val="00C93261"/>
    <w:rsid w:val="00C94760"/>
    <w:rsid w:val="00C948B0"/>
    <w:rsid w:val="00C972E4"/>
    <w:rsid w:val="00CA0F42"/>
    <w:rsid w:val="00CA175C"/>
    <w:rsid w:val="00CA5415"/>
    <w:rsid w:val="00CB3BE2"/>
    <w:rsid w:val="00CB59CC"/>
    <w:rsid w:val="00CC1B13"/>
    <w:rsid w:val="00CC55E3"/>
    <w:rsid w:val="00CD0396"/>
    <w:rsid w:val="00CD2A5C"/>
    <w:rsid w:val="00CD2B72"/>
    <w:rsid w:val="00CD321E"/>
    <w:rsid w:val="00CD77D4"/>
    <w:rsid w:val="00CE09AF"/>
    <w:rsid w:val="00CE7408"/>
    <w:rsid w:val="00CF7782"/>
    <w:rsid w:val="00D03BFF"/>
    <w:rsid w:val="00D11F69"/>
    <w:rsid w:val="00D161D2"/>
    <w:rsid w:val="00D20444"/>
    <w:rsid w:val="00D27703"/>
    <w:rsid w:val="00D30492"/>
    <w:rsid w:val="00D3792D"/>
    <w:rsid w:val="00D526CB"/>
    <w:rsid w:val="00D62433"/>
    <w:rsid w:val="00D62C83"/>
    <w:rsid w:val="00D87184"/>
    <w:rsid w:val="00DA041C"/>
    <w:rsid w:val="00DA1E82"/>
    <w:rsid w:val="00DB1EF3"/>
    <w:rsid w:val="00DB4967"/>
    <w:rsid w:val="00DB5B9F"/>
    <w:rsid w:val="00DB786F"/>
    <w:rsid w:val="00DC0830"/>
    <w:rsid w:val="00DC3FD5"/>
    <w:rsid w:val="00DD4173"/>
    <w:rsid w:val="00DD43B2"/>
    <w:rsid w:val="00DD5758"/>
    <w:rsid w:val="00DE13A2"/>
    <w:rsid w:val="00DE3331"/>
    <w:rsid w:val="00DE688A"/>
    <w:rsid w:val="00DF5E5E"/>
    <w:rsid w:val="00DF63A2"/>
    <w:rsid w:val="00E00879"/>
    <w:rsid w:val="00E03745"/>
    <w:rsid w:val="00E03815"/>
    <w:rsid w:val="00E0453A"/>
    <w:rsid w:val="00E05FEC"/>
    <w:rsid w:val="00E1137F"/>
    <w:rsid w:val="00E139DD"/>
    <w:rsid w:val="00E150C7"/>
    <w:rsid w:val="00E162D7"/>
    <w:rsid w:val="00E265EA"/>
    <w:rsid w:val="00E45B63"/>
    <w:rsid w:val="00E47364"/>
    <w:rsid w:val="00E47A0D"/>
    <w:rsid w:val="00E507F0"/>
    <w:rsid w:val="00E522D3"/>
    <w:rsid w:val="00E539AB"/>
    <w:rsid w:val="00E5689B"/>
    <w:rsid w:val="00E56B6E"/>
    <w:rsid w:val="00E6167F"/>
    <w:rsid w:val="00E70A66"/>
    <w:rsid w:val="00E75FD3"/>
    <w:rsid w:val="00E76AF4"/>
    <w:rsid w:val="00E85C61"/>
    <w:rsid w:val="00E938D1"/>
    <w:rsid w:val="00E96D89"/>
    <w:rsid w:val="00E97EAF"/>
    <w:rsid w:val="00EA3F32"/>
    <w:rsid w:val="00EA7648"/>
    <w:rsid w:val="00EB229D"/>
    <w:rsid w:val="00EB40CC"/>
    <w:rsid w:val="00EC4C85"/>
    <w:rsid w:val="00EC6041"/>
    <w:rsid w:val="00ED1CBD"/>
    <w:rsid w:val="00ED2C04"/>
    <w:rsid w:val="00ED2C72"/>
    <w:rsid w:val="00ED58CB"/>
    <w:rsid w:val="00EE2BD8"/>
    <w:rsid w:val="00EF21B5"/>
    <w:rsid w:val="00EF4615"/>
    <w:rsid w:val="00EF7223"/>
    <w:rsid w:val="00EF7373"/>
    <w:rsid w:val="00F02648"/>
    <w:rsid w:val="00F05AC6"/>
    <w:rsid w:val="00F151C1"/>
    <w:rsid w:val="00F17DAF"/>
    <w:rsid w:val="00F25F33"/>
    <w:rsid w:val="00F25F9A"/>
    <w:rsid w:val="00F26DD2"/>
    <w:rsid w:val="00F33857"/>
    <w:rsid w:val="00F36A09"/>
    <w:rsid w:val="00F413A5"/>
    <w:rsid w:val="00F4348B"/>
    <w:rsid w:val="00F450FA"/>
    <w:rsid w:val="00F45E11"/>
    <w:rsid w:val="00F47E59"/>
    <w:rsid w:val="00F55067"/>
    <w:rsid w:val="00F602B2"/>
    <w:rsid w:val="00F6042E"/>
    <w:rsid w:val="00F616B4"/>
    <w:rsid w:val="00F64220"/>
    <w:rsid w:val="00F66477"/>
    <w:rsid w:val="00F66EDB"/>
    <w:rsid w:val="00F67CBF"/>
    <w:rsid w:val="00F70F76"/>
    <w:rsid w:val="00F713DE"/>
    <w:rsid w:val="00F715B7"/>
    <w:rsid w:val="00F716D9"/>
    <w:rsid w:val="00F75136"/>
    <w:rsid w:val="00F77405"/>
    <w:rsid w:val="00F77546"/>
    <w:rsid w:val="00F90C49"/>
    <w:rsid w:val="00F921CB"/>
    <w:rsid w:val="00F93AC2"/>
    <w:rsid w:val="00F9535D"/>
    <w:rsid w:val="00FA0A0A"/>
    <w:rsid w:val="00FA3C62"/>
    <w:rsid w:val="00FB0162"/>
    <w:rsid w:val="00FB2AC2"/>
    <w:rsid w:val="00FB6C98"/>
    <w:rsid w:val="00FB6DD8"/>
    <w:rsid w:val="00FC35BC"/>
    <w:rsid w:val="00FD4DBD"/>
    <w:rsid w:val="00FE6605"/>
    <w:rsid w:val="00FF0BE6"/>
    <w:rsid w:val="00FF7B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4A2"/>
    <w:pPr>
      <w:spacing w:after="160" w:line="259" w:lineRule="auto"/>
    </w:pPr>
  </w:style>
  <w:style w:type="paragraph" w:styleId="1">
    <w:name w:val="heading 1"/>
    <w:basedOn w:val="a"/>
    <w:next w:val="a"/>
    <w:link w:val="10"/>
    <w:uiPriority w:val="99"/>
    <w:qFormat/>
    <w:rsid w:val="009524A2"/>
    <w:pPr>
      <w:keepNext/>
      <w:keepLines/>
      <w:spacing w:before="480" w:after="120"/>
      <w:outlineLvl w:val="0"/>
    </w:pPr>
    <w:rPr>
      <w:b/>
      <w:sz w:val="48"/>
      <w:szCs w:val="48"/>
    </w:rPr>
  </w:style>
  <w:style w:type="paragraph" w:styleId="2">
    <w:name w:val="heading 2"/>
    <w:basedOn w:val="a"/>
    <w:next w:val="a"/>
    <w:link w:val="20"/>
    <w:uiPriority w:val="99"/>
    <w:qFormat/>
    <w:rsid w:val="009524A2"/>
    <w:pPr>
      <w:keepNext/>
      <w:keepLines/>
      <w:spacing w:before="360" w:after="80"/>
      <w:outlineLvl w:val="1"/>
    </w:pPr>
    <w:rPr>
      <w:b/>
      <w:sz w:val="36"/>
      <w:szCs w:val="36"/>
    </w:rPr>
  </w:style>
  <w:style w:type="paragraph" w:styleId="3">
    <w:name w:val="heading 3"/>
    <w:basedOn w:val="a"/>
    <w:next w:val="a"/>
    <w:link w:val="30"/>
    <w:uiPriority w:val="99"/>
    <w:qFormat/>
    <w:rsid w:val="009524A2"/>
    <w:pPr>
      <w:spacing w:line="240" w:lineRule="auto"/>
      <w:outlineLvl w:val="2"/>
    </w:pPr>
    <w:rPr>
      <w:rFonts w:ascii="Times New Roman" w:eastAsia="Times New Roman" w:hAnsi="Times New Roman" w:cs="Times New Roman"/>
      <w:b/>
      <w:sz w:val="26"/>
      <w:szCs w:val="26"/>
    </w:rPr>
  </w:style>
  <w:style w:type="paragraph" w:styleId="4">
    <w:name w:val="heading 4"/>
    <w:basedOn w:val="a"/>
    <w:next w:val="a"/>
    <w:link w:val="40"/>
    <w:uiPriority w:val="99"/>
    <w:qFormat/>
    <w:rsid w:val="009524A2"/>
    <w:pPr>
      <w:keepNext/>
      <w:keepLines/>
      <w:spacing w:before="240" w:after="40"/>
      <w:outlineLvl w:val="3"/>
    </w:pPr>
    <w:rPr>
      <w:b/>
      <w:sz w:val="24"/>
      <w:szCs w:val="24"/>
    </w:rPr>
  </w:style>
  <w:style w:type="paragraph" w:styleId="5">
    <w:name w:val="heading 5"/>
    <w:basedOn w:val="a"/>
    <w:next w:val="a"/>
    <w:link w:val="50"/>
    <w:uiPriority w:val="99"/>
    <w:qFormat/>
    <w:rsid w:val="009524A2"/>
    <w:pPr>
      <w:keepNext/>
      <w:keepLines/>
      <w:spacing w:before="220" w:after="40"/>
      <w:outlineLvl w:val="4"/>
    </w:pPr>
    <w:rPr>
      <w:b/>
    </w:rPr>
  </w:style>
  <w:style w:type="paragraph" w:styleId="6">
    <w:name w:val="heading 6"/>
    <w:basedOn w:val="a"/>
    <w:next w:val="a"/>
    <w:link w:val="60"/>
    <w:uiPriority w:val="99"/>
    <w:qFormat/>
    <w:rsid w:val="009524A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36A3A"/>
    <w:rPr>
      <w:rFonts w:cs="Times New Roman"/>
      <w:b/>
      <w:sz w:val="48"/>
      <w:szCs w:val="48"/>
    </w:rPr>
  </w:style>
  <w:style w:type="character" w:customStyle="1" w:styleId="20">
    <w:name w:val="Заголовок 2 Знак"/>
    <w:basedOn w:val="a0"/>
    <w:link w:val="2"/>
    <w:uiPriority w:val="9"/>
    <w:semiHidden/>
    <w:rsid w:val="00FD41C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9"/>
    <w:locked/>
    <w:rsid w:val="00036A3A"/>
    <w:rPr>
      <w:rFonts w:ascii="Times New Roman" w:hAnsi="Times New Roman" w:cs="Times New Roman"/>
      <w:b/>
      <w:sz w:val="26"/>
      <w:szCs w:val="26"/>
    </w:rPr>
  </w:style>
  <w:style w:type="character" w:customStyle="1" w:styleId="40">
    <w:name w:val="Заголовок 4 Знак"/>
    <w:basedOn w:val="a0"/>
    <w:link w:val="4"/>
    <w:uiPriority w:val="9"/>
    <w:semiHidden/>
    <w:rsid w:val="00FD41C9"/>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FD41C9"/>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FD41C9"/>
    <w:rPr>
      <w:rFonts w:asciiTheme="minorHAnsi" w:eastAsiaTheme="minorEastAsia" w:hAnsiTheme="minorHAnsi" w:cstheme="minorBidi"/>
      <w:b/>
      <w:bCs/>
    </w:rPr>
  </w:style>
  <w:style w:type="table" w:customStyle="1" w:styleId="TableNormal1">
    <w:name w:val="Table Normal1"/>
    <w:uiPriority w:val="99"/>
    <w:rsid w:val="009524A2"/>
    <w:pPr>
      <w:spacing w:after="160" w:line="259" w:lineRule="auto"/>
    </w:pPr>
    <w:tblPr>
      <w:tblCellMar>
        <w:top w:w="0" w:type="dxa"/>
        <w:left w:w="0" w:type="dxa"/>
        <w:bottom w:w="0" w:type="dxa"/>
        <w:right w:w="0" w:type="dxa"/>
      </w:tblCellMar>
    </w:tblPr>
  </w:style>
  <w:style w:type="paragraph" w:styleId="a3">
    <w:name w:val="Title"/>
    <w:basedOn w:val="a"/>
    <w:next w:val="a"/>
    <w:link w:val="a4"/>
    <w:uiPriority w:val="99"/>
    <w:qFormat/>
    <w:rsid w:val="009524A2"/>
    <w:pPr>
      <w:keepNext/>
      <w:keepLines/>
      <w:spacing w:before="480" w:after="120"/>
    </w:pPr>
    <w:rPr>
      <w:b/>
      <w:sz w:val="72"/>
      <w:szCs w:val="72"/>
    </w:rPr>
  </w:style>
  <w:style w:type="character" w:customStyle="1" w:styleId="a4">
    <w:name w:val="Название Знак"/>
    <w:basedOn w:val="a0"/>
    <w:link w:val="a3"/>
    <w:uiPriority w:val="10"/>
    <w:rsid w:val="00FD41C9"/>
    <w:rPr>
      <w:rFonts w:asciiTheme="majorHAnsi" w:eastAsiaTheme="majorEastAsia" w:hAnsiTheme="majorHAnsi" w:cstheme="majorBidi"/>
      <w:b/>
      <w:bCs/>
      <w:kern w:val="28"/>
      <w:sz w:val="32"/>
      <w:szCs w:val="32"/>
    </w:rPr>
  </w:style>
  <w:style w:type="paragraph" w:styleId="a5">
    <w:name w:val="Subtitle"/>
    <w:basedOn w:val="a"/>
    <w:next w:val="a"/>
    <w:link w:val="a6"/>
    <w:uiPriority w:val="99"/>
    <w:qFormat/>
    <w:rsid w:val="009524A2"/>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FD41C9"/>
    <w:rPr>
      <w:rFonts w:asciiTheme="majorHAnsi" w:eastAsiaTheme="majorEastAsia" w:hAnsiTheme="majorHAnsi" w:cstheme="majorBidi"/>
      <w:sz w:val="24"/>
      <w:szCs w:val="24"/>
    </w:rPr>
  </w:style>
  <w:style w:type="table" w:customStyle="1" w:styleId="a7">
    <w:name w:val="Стиль"/>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9">
    <w:name w:val="Стиль6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8">
    <w:name w:val="Стиль6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7">
    <w:name w:val="Стиль6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6">
    <w:name w:val="Стиль6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5">
    <w:name w:val="Стиль6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4">
    <w:name w:val="Стиль6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3">
    <w:name w:val="Стиль6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2">
    <w:name w:val="Стиль6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1">
    <w:name w:val="Стиль6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00">
    <w:name w:val="Стиль6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9">
    <w:name w:val="Стиль5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8">
    <w:name w:val="Стиль5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7">
    <w:name w:val="Стиль5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6">
    <w:name w:val="Стиль5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5">
    <w:name w:val="Стиль5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4">
    <w:name w:val="Стиль5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3">
    <w:name w:val="Стиль5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2">
    <w:name w:val="Стиль5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1">
    <w:name w:val="Стиль5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00">
    <w:name w:val="Стиль5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9">
    <w:name w:val="Стиль4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8">
    <w:name w:val="Стиль4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7">
    <w:name w:val="Стиль4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6">
    <w:name w:val="Стиль4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5">
    <w:name w:val="Стиль4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4">
    <w:name w:val="Стиль4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3">
    <w:name w:val="Стиль4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2">
    <w:name w:val="Стиль4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1">
    <w:name w:val="Стиль4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00">
    <w:name w:val="Стиль4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9">
    <w:name w:val="Стиль3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8">
    <w:name w:val="Стиль3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7">
    <w:name w:val="Стиль3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6">
    <w:name w:val="Стиль3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5">
    <w:name w:val="Стиль3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4">
    <w:name w:val="Стиль3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3">
    <w:name w:val="Стиль3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2">
    <w:name w:val="Стиль3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1">
    <w:name w:val="Стиль3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00">
    <w:name w:val="Стиль3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9">
    <w:name w:val="Стиль2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8">
    <w:name w:val="Стиль2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7">
    <w:name w:val="Стиль2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6">
    <w:name w:val="Стиль2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5">
    <w:name w:val="Стиль2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4">
    <w:name w:val="Стиль2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3">
    <w:name w:val="Стиль2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2">
    <w:name w:val="Стиль2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1">
    <w:name w:val="Стиль2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00">
    <w:name w:val="Стиль2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9">
    <w:name w:val="Стиль1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8">
    <w:name w:val="Стиль1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7">
    <w:name w:val="Стиль1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6">
    <w:name w:val="Стиль1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5">
    <w:name w:val="Стиль1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4">
    <w:name w:val="Стиль1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3">
    <w:name w:val="Стиль1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2">
    <w:name w:val="Стиль1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1">
    <w:name w:val="Стиль1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00">
    <w:name w:val="Стиль1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9">
    <w:name w:val="Стиль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8">
    <w:name w:val="Стиль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7">
    <w:name w:val="Стиль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a">
    <w:name w:val="Стиль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a">
    <w:name w:val="Стиль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a">
    <w:name w:val="Стиль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a">
    <w:name w:val="Стиль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a">
    <w:name w:val="Стиль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a">
    <w:name w:val="Стиль1"/>
    <w:basedOn w:val="TableNormal1"/>
    <w:uiPriority w:val="99"/>
    <w:rsid w:val="009524A2"/>
    <w:tblPr>
      <w:tblStyleRowBandSize w:val="1"/>
      <w:tblStyleColBandSize w:val="1"/>
      <w:tblCellMar>
        <w:top w:w="100" w:type="dxa"/>
        <w:left w:w="100" w:type="dxa"/>
        <w:bottom w:w="100" w:type="dxa"/>
        <w:right w:w="100" w:type="dxa"/>
      </w:tblCellMar>
    </w:tblPr>
  </w:style>
  <w:style w:type="paragraph" w:styleId="a8">
    <w:name w:val="Balloon Text"/>
    <w:basedOn w:val="a"/>
    <w:link w:val="a9"/>
    <w:uiPriority w:val="99"/>
    <w:semiHidden/>
    <w:rsid w:val="002A3D4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2A3D4F"/>
    <w:rPr>
      <w:rFonts w:ascii="Segoe UI" w:hAnsi="Segoe UI" w:cs="Segoe UI"/>
      <w:sz w:val="18"/>
      <w:szCs w:val="18"/>
    </w:rPr>
  </w:style>
  <w:style w:type="paragraph" w:customStyle="1" w:styleId="rvps2">
    <w:name w:val="rvps2"/>
    <w:basedOn w:val="a"/>
    <w:uiPriority w:val="99"/>
    <w:rsid w:val="00956093"/>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rsid w:val="00956093"/>
    <w:rPr>
      <w:rFonts w:cs="Times New Roman"/>
      <w:color w:val="0000FF"/>
      <w:u w:val="single"/>
    </w:rPr>
  </w:style>
  <w:style w:type="character" w:customStyle="1" w:styleId="rvts46">
    <w:name w:val="rvts46"/>
    <w:basedOn w:val="a0"/>
    <w:uiPriority w:val="99"/>
    <w:rsid w:val="00956093"/>
    <w:rPr>
      <w:rFonts w:cs="Times New Roman"/>
    </w:rPr>
  </w:style>
  <w:style w:type="paragraph" w:styleId="ab">
    <w:name w:val="Normal (Web)"/>
    <w:aliases w:val="Обычный (Web),Обычный (веб) Знак Знак,Знак1 Знак Знак,Знак1 Знак1,Знак1 Знак Знак1,Обычный (веб) Знак Знак2,Знак1 Знак2,Обычный (веб) Знак,Знак1 Знак,Знак1,Знак,Обычный (веб) Знак Знак2 Знак Знак Знак,Обычный (веб) Знак Знак2 Знак Знак,З"/>
    <w:basedOn w:val="a"/>
    <w:link w:val="1b"/>
    <w:uiPriority w:val="99"/>
    <w:rsid w:val="00DB5B9F"/>
    <w:pPr>
      <w:spacing w:before="100" w:beforeAutospacing="1" w:after="100" w:afterAutospacing="1" w:line="240" w:lineRule="auto"/>
    </w:pPr>
    <w:rPr>
      <w:rFonts w:ascii="Times New Roman" w:hAnsi="Times New Roman" w:cs="Times New Roman"/>
      <w:sz w:val="24"/>
      <w:szCs w:val="24"/>
    </w:rPr>
  </w:style>
  <w:style w:type="character" w:customStyle="1" w:styleId="1b">
    <w:name w:val="Обычный (веб) Знак1"/>
    <w:aliases w:val="Обычный (Web) Знак,Обычный (веб) Знак Знак Знак,Знак1 Знак Знак Знак,Знак1 Знак1 Знак,Знак1 Знак Знак1 Знак,Обычный (веб) Знак Знак2 Знак,Знак1 Знак2 Знак,Обычный (веб) Знак Знак1,Знак1 Знак Знак2,Знак1 Знак3,Знак Знак,З Знак"/>
    <w:link w:val="ab"/>
    <w:uiPriority w:val="99"/>
    <w:locked/>
    <w:rsid w:val="00DB5B9F"/>
    <w:rPr>
      <w:rFonts w:ascii="Times New Roman" w:hAnsi="Times New Roman"/>
      <w:sz w:val="24"/>
    </w:rPr>
  </w:style>
  <w:style w:type="character" w:customStyle="1" w:styleId="rvts9">
    <w:name w:val="rvts9"/>
    <w:basedOn w:val="a0"/>
    <w:uiPriority w:val="99"/>
    <w:rsid w:val="005E632D"/>
    <w:rPr>
      <w:rFonts w:cs="Times New Roman"/>
    </w:rPr>
  </w:style>
  <w:style w:type="paragraph" w:styleId="ac">
    <w:name w:val="header"/>
    <w:basedOn w:val="a"/>
    <w:link w:val="ad"/>
    <w:uiPriority w:val="99"/>
    <w:rsid w:val="009D47B5"/>
    <w:pPr>
      <w:tabs>
        <w:tab w:val="center" w:pos="4819"/>
        <w:tab w:val="right" w:pos="9639"/>
      </w:tabs>
      <w:spacing w:after="0" w:line="240" w:lineRule="auto"/>
    </w:pPr>
  </w:style>
  <w:style w:type="character" w:customStyle="1" w:styleId="ad">
    <w:name w:val="Верхний колонтитул Знак"/>
    <w:basedOn w:val="a0"/>
    <w:link w:val="ac"/>
    <w:uiPriority w:val="99"/>
    <w:locked/>
    <w:rsid w:val="009D47B5"/>
    <w:rPr>
      <w:rFonts w:cs="Times New Roman"/>
    </w:rPr>
  </w:style>
  <w:style w:type="paragraph" w:styleId="ae">
    <w:name w:val="footer"/>
    <w:basedOn w:val="a"/>
    <w:link w:val="af"/>
    <w:uiPriority w:val="99"/>
    <w:rsid w:val="009D47B5"/>
    <w:pPr>
      <w:tabs>
        <w:tab w:val="center" w:pos="4819"/>
        <w:tab w:val="right" w:pos="9639"/>
      </w:tabs>
      <w:spacing w:after="0" w:line="240" w:lineRule="auto"/>
    </w:pPr>
  </w:style>
  <w:style w:type="character" w:customStyle="1" w:styleId="af">
    <w:name w:val="Нижний колонтитул Знак"/>
    <w:basedOn w:val="a0"/>
    <w:link w:val="ae"/>
    <w:uiPriority w:val="99"/>
    <w:locked/>
    <w:rsid w:val="009D47B5"/>
    <w:rPr>
      <w:rFonts w:cs="Times New Roman"/>
    </w:rPr>
  </w:style>
  <w:style w:type="paragraph" w:styleId="af0">
    <w:name w:val="No Spacing"/>
    <w:link w:val="af1"/>
    <w:uiPriority w:val="99"/>
    <w:qFormat/>
    <w:rsid w:val="00407D27"/>
    <w:pPr>
      <w:spacing w:after="160" w:line="259" w:lineRule="auto"/>
    </w:pPr>
    <w:rPr>
      <w:rFonts w:cs="Times New Roman"/>
      <w:lang w:eastAsia="en-US"/>
    </w:rPr>
  </w:style>
  <w:style w:type="character" w:customStyle="1" w:styleId="af1">
    <w:name w:val="Без интервала Знак"/>
    <w:link w:val="af0"/>
    <w:uiPriority w:val="99"/>
    <w:locked/>
    <w:rsid w:val="00407D27"/>
    <w:rPr>
      <w:sz w:val="22"/>
      <w:lang w:eastAsia="en-US"/>
    </w:rPr>
  </w:style>
  <w:style w:type="table" w:styleId="af2">
    <w:name w:val="Table Grid"/>
    <w:basedOn w:val="a1"/>
    <w:uiPriority w:val="99"/>
    <w:rsid w:val="00843F88"/>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uiPriority w:val="99"/>
    <w:rsid w:val="00AE035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c">
    <w:name w:val="Сітка таблиці1"/>
    <w:uiPriority w:val="99"/>
    <w:rsid w:val="00416730"/>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ітка таблиці2"/>
    <w:uiPriority w:val="99"/>
    <w:rsid w:val="008E2F67"/>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ітка таблиці3"/>
    <w:uiPriority w:val="99"/>
    <w:rsid w:val="00F93AC2"/>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ітка таблиці4"/>
    <w:uiPriority w:val="99"/>
    <w:rsid w:val="00A67302"/>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99"/>
    <w:qFormat/>
    <w:rsid w:val="00A67302"/>
    <w:pPr>
      <w:spacing w:line="240" w:lineRule="auto"/>
      <w:ind w:left="720"/>
      <w:contextualSpacing/>
    </w:pPr>
    <w:rPr>
      <w:rFonts w:ascii="Liberation Serif" w:hAnsi="Liberation Serif" w:cs="Lohit Devanagari"/>
      <w:kern w:val="2"/>
      <w:sz w:val="24"/>
      <w:szCs w:val="24"/>
      <w:lang w:eastAsia="zh-CN" w:bidi="hi-IN"/>
    </w:rPr>
  </w:style>
  <w:style w:type="character" w:customStyle="1" w:styleId="rvts80">
    <w:name w:val="rvts80"/>
    <w:basedOn w:val="a0"/>
    <w:uiPriority w:val="99"/>
    <w:rsid w:val="00036A3A"/>
    <w:rPr>
      <w:rFonts w:cs="Times New Roman"/>
    </w:rPr>
  </w:style>
  <w:style w:type="paragraph" w:customStyle="1" w:styleId="rvps14">
    <w:name w:val="rvps14"/>
    <w:basedOn w:val="a"/>
    <w:uiPriority w:val="99"/>
    <w:rsid w:val="00036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uiPriority w:val="99"/>
    <w:rsid w:val="00036A3A"/>
    <w:rPr>
      <w:rFonts w:cs="Times New Roman"/>
    </w:rPr>
  </w:style>
  <w:style w:type="paragraph" w:customStyle="1" w:styleId="af4">
    <w:name w:val="Нормальний текст"/>
    <w:basedOn w:val="a"/>
    <w:link w:val="af5"/>
    <w:uiPriority w:val="99"/>
    <w:rsid w:val="00036A3A"/>
    <w:pPr>
      <w:spacing w:before="120" w:after="0" w:line="240" w:lineRule="auto"/>
      <w:ind w:firstLine="567"/>
      <w:jc w:val="both"/>
    </w:pPr>
    <w:rPr>
      <w:rFonts w:ascii="Antiqua" w:eastAsia="Times New Roman" w:hAnsi="Antiqua" w:cs="Times New Roman"/>
      <w:sz w:val="26"/>
      <w:szCs w:val="20"/>
      <w:lang w:eastAsia="ru-RU"/>
    </w:rPr>
  </w:style>
  <w:style w:type="table" w:customStyle="1" w:styleId="110">
    <w:name w:val="Сітка таблиці11"/>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ітка таблиці12"/>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15">
    <w:name w:val="rvts15"/>
    <w:uiPriority w:val="99"/>
    <w:rsid w:val="00036A3A"/>
  </w:style>
  <w:style w:type="table" w:customStyle="1" w:styleId="130">
    <w:name w:val="Сітка таблиці13"/>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ітка таблиці14"/>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44">
    <w:name w:val="rvts44"/>
    <w:basedOn w:val="a0"/>
    <w:uiPriority w:val="99"/>
    <w:rsid w:val="00036A3A"/>
    <w:rPr>
      <w:rFonts w:cs="Times New Roman"/>
    </w:rPr>
  </w:style>
  <w:style w:type="paragraph" w:customStyle="1" w:styleId="rvps7">
    <w:name w:val="rvps7"/>
    <w:basedOn w:val="a"/>
    <w:uiPriority w:val="99"/>
    <w:rsid w:val="00036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uiPriority w:val="99"/>
    <w:rsid w:val="00036A3A"/>
    <w:rPr>
      <w:rFonts w:cs="Times New Roman"/>
    </w:rPr>
  </w:style>
  <w:style w:type="table" w:customStyle="1" w:styleId="111">
    <w:name w:val="Сітка таблиці111"/>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ітка таблиці41"/>
    <w:uiPriority w:val="99"/>
    <w:rsid w:val="009F7B6B"/>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286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locked/>
    <w:rsid w:val="00286C7E"/>
    <w:rPr>
      <w:rFonts w:ascii="Courier New" w:hAnsi="Courier New" w:cs="Times New Roman"/>
      <w:sz w:val="20"/>
      <w:szCs w:val="20"/>
      <w:lang w:val="ru-RU" w:eastAsia="ru-RU"/>
    </w:rPr>
  </w:style>
  <w:style w:type="character" w:customStyle="1" w:styleId="s0">
    <w:name w:val="s0"/>
    <w:uiPriority w:val="99"/>
    <w:rsid w:val="00DB4967"/>
    <w:rPr>
      <w:rFonts w:ascii="Times New Roman" w:hAnsi="Times New Roman"/>
      <w:color w:val="000000"/>
    </w:rPr>
  </w:style>
  <w:style w:type="character" w:customStyle="1" w:styleId="af5">
    <w:name w:val="Нормальний текст Знак"/>
    <w:link w:val="af4"/>
    <w:uiPriority w:val="99"/>
    <w:locked/>
    <w:rsid w:val="003A5E74"/>
    <w:rPr>
      <w:rFonts w:ascii="Antiqua" w:hAnsi="Antiqua"/>
      <w:sz w:val="20"/>
      <w:lang w:eastAsia="ru-RU"/>
    </w:rPr>
  </w:style>
  <w:style w:type="character" w:styleId="af6">
    <w:name w:val="annotation reference"/>
    <w:basedOn w:val="a0"/>
    <w:uiPriority w:val="99"/>
    <w:semiHidden/>
    <w:rsid w:val="00B7097F"/>
    <w:rPr>
      <w:rFonts w:cs="Times New Roman"/>
      <w:sz w:val="16"/>
      <w:szCs w:val="16"/>
    </w:rPr>
  </w:style>
  <w:style w:type="paragraph" w:styleId="af7">
    <w:name w:val="annotation text"/>
    <w:basedOn w:val="a"/>
    <w:link w:val="af8"/>
    <w:uiPriority w:val="99"/>
    <w:semiHidden/>
    <w:rsid w:val="00B7097F"/>
    <w:pPr>
      <w:spacing w:line="240" w:lineRule="auto"/>
    </w:pPr>
    <w:rPr>
      <w:sz w:val="20"/>
      <w:szCs w:val="20"/>
    </w:rPr>
  </w:style>
  <w:style w:type="character" w:customStyle="1" w:styleId="af8">
    <w:name w:val="Текст примечания Знак"/>
    <w:basedOn w:val="a0"/>
    <w:link w:val="af7"/>
    <w:uiPriority w:val="99"/>
    <w:semiHidden/>
    <w:locked/>
    <w:rsid w:val="00B7097F"/>
    <w:rPr>
      <w:rFonts w:cs="Times New Roman"/>
      <w:sz w:val="20"/>
      <w:szCs w:val="20"/>
    </w:rPr>
  </w:style>
  <w:style w:type="paragraph" w:styleId="af9">
    <w:name w:val="annotation subject"/>
    <w:basedOn w:val="af7"/>
    <w:next w:val="af7"/>
    <w:link w:val="afa"/>
    <w:uiPriority w:val="99"/>
    <w:semiHidden/>
    <w:rsid w:val="00B7097F"/>
    <w:rPr>
      <w:b/>
      <w:bCs/>
    </w:rPr>
  </w:style>
  <w:style w:type="character" w:customStyle="1" w:styleId="afa">
    <w:name w:val="Тема примечания Знак"/>
    <w:basedOn w:val="af8"/>
    <w:link w:val="af9"/>
    <w:uiPriority w:val="99"/>
    <w:semiHidden/>
    <w:locked/>
    <w:rsid w:val="00B7097F"/>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4A2"/>
    <w:pPr>
      <w:spacing w:after="160" w:line="259" w:lineRule="auto"/>
    </w:pPr>
  </w:style>
  <w:style w:type="paragraph" w:styleId="1">
    <w:name w:val="heading 1"/>
    <w:basedOn w:val="a"/>
    <w:next w:val="a"/>
    <w:link w:val="10"/>
    <w:uiPriority w:val="99"/>
    <w:qFormat/>
    <w:rsid w:val="009524A2"/>
    <w:pPr>
      <w:keepNext/>
      <w:keepLines/>
      <w:spacing w:before="480" w:after="120"/>
      <w:outlineLvl w:val="0"/>
    </w:pPr>
    <w:rPr>
      <w:b/>
      <w:sz w:val="48"/>
      <w:szCs w:val="48"/>
    </w:rPr>
  </w:style>
  <w:style w:type="paragraph" w:styleId="2">
    <w:name w:val="heading 2"/>
    <w:basedOn w:val="a"/>
    <w:next w:val="a"/>
    <w:link w:val="20"/>
    <w:uiPriority w:val="99"/>
    <w:qFormat/>
    <w:rsid w:val="009524A2"/>
    <w:pPr>
      <w:keepNext/>
      <w:keepLines/>
      <w:spacing w:before="360" w:after="80"/>
      <w:outlineLvl w:val="1"/>
    </w:pPr>
    <w:rPr>
      <w:b/>
      <w:sz w:val="36"/>
      <w:szCs w:val="36"/>
    </w:rPr>
  </w:style>
  <w:style w:type="paragraph" w:styleId="3">
    <w:name w:val="heading 3"/>
    <w:basedOn w:val="a"/>
    <w:next w:val="a"/>
    <w:link w:val="30"/>
    <w:uiPriority w:val="99"/>
    <w:qFormat/>
    <w:rsid w:val="009524A2"/>
    <w:pPr>
      <w:spacing w:line="240" w:lineRule="auto"/>
      <w:outlineLvl w:val="2"/>
    </w:pPr>
    <w:rPr>
      <w:rFonts w:ascii="Times New Roman" w:eastAsia="Times New Roman" w:hAnsi="Times New Roman" w:cs="Times New Roman"/>
      <w:b/>
      <w:sz w:val="26"/>
      <w:szCs w:val="26"/>
    </w:rPr>
  </w:style>
  <w:style w:type="paragraph" w:styleId="4">
    <w:name w:val="heading 4"/>
    <w:basedOn w:val="a"/>
    <w:next w:val="a"/>
    <w:link w:val="40"/>
    <w:uiPriority w:val="99"/>
    <w:qFormat/>
    <w:rsid w:val="009524A2"/>
    <w:pPr>
      <w:keepNext/>
      <w:keepLines/>
      <w:spacing w:before="240" w:after="40"/>
      <w:outlineLvl w:val="3"/>
    </w:pPr>
    <w:rPr>
      <w:b/>
      <w:sz w:val="24"/>
      <w:szCs w:val="24"/>
    </w:rPr>
  </w:style>
  <w:style w:type="paragraph" w:styleId="5">
    <w:name w:val="heading 5"/>
    <w:basedOn w:val="a"/>
    <w:next w:val="a"/>
    <w:link w:val="50"/>
    <w:uiPriority w:val="99"/>
    <w:qFormat/>
    <w:rsid w:val="009524A2"/>
    <w:pPr>
      <w:keepNext/>
      <w:keepLines/>
      <w:spacing w:before="220" w:after="40"/>
      <w:outlineLvl w:val="4"/>
    </w:pPr>
    <w:rPr>
      <w:b/>
    </w:rPr>
  </w:style>
  <w:style w:type="paragraph" w:styleId="6">
    <w:name w:val="heading 6"/>
    <w:basedOn w:val="a"/>
    <w:next w:val="a"/>
    <w:link w:val="60"/>
    <w:uiPriority w:val="99"/>
    <w:qFormat/>
    <w:rsid w:val="009524A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36A3A"/>
    <w:rPr>
      <w:rFonts w:cs="Times New Roman"/>
      <w:b/>
      <w:sz w:val="48"/>
      <w:szCs w:val="48"/>
    </w:rPr>
  </w:style>
  <w:style w:type="character" w:customStyle="1" w:styleId="20">
    <w:name w:val="Заголовок 2 Знак"/>
    <w:basedOn w:val="a0"/>
    <w:link w:val="2"/>
    <w:uiPriority w:val="9"/>
    <w:semiHidden/>
    <w:rsid w:val="00FD41C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9"/>
    <w:locked/>
    <w:rsid w:val="00036A3A"/>
    <w:rPr>
      <w:rFonts w:ascii="Times New Roman" w:hAnsi="Times New Roman" w:cs="Times New Roman"/>
      <w:b/>
      <w:sz w:val="26"/>
      <w:szCs w:val="26"/>
    </w:rPr>
  </w:style>
  <w:style w:type="character" w:customStyle="1" w:styleId="40">
    <w:name w:val="Заголовок 4 Знак"/>
    <w:basedOn w:val="a0"/>
    <w:link w:val="4"/>
    <w:uiPriority w:val="9"/>
    <w:semiHidden/>
    <w:rsid w:val="00FD41C9"/>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FD41C9"/>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FD41C9"/>
    <w:rPr>
      <w:rFonts w:asciiTheme="minorHAnsi" w:eastAsiaTheme="minorEastAsia" w:hAnsiTheme="minorHAnsi" w:cstheme="minorBidi"/>
      <w:b/>
      <w:bCs/>
    </w:rPr>
  </w:style>
  <w:style w:type="table" w:customStyle="1" w:styleId="TableNormal1">
    <w:name w:val="Table Normal1"/>
    <w:uiPriority w:val="99"/>
    <w:rsid w:val="009524A2"/>
    <w:pPr>
      <w:spacing w:after="160" w:line="259" w:lineRule="auto"/>
    </w:pPr>
    <w:tblPr>
      <w:tblCellMar>
        <w:top w:w="0" w:type="dxa"/>
        <w:left w:w="0" w:type="dxa"/>
        <w:bottom w:w="0" w:type="dxa"/>
        <w:right w:w="0" w:type="dxa"/>
      </w:tblCellMar>
    </w:tblPr>
  </w:style>
  <w:style w:type="paragraph" w:styleId="a3">
    <w:name w:val="Title"/>
    <w:basedOn w:val="a"/>
    <w:next w:val="a"/>
    <w:link w:val="a4"/>
    <w:uiPriority w:val="99"/>
    <w:qFormat/>
    <w:rsid w:val="009524A2"/>
    <w:pPr>
      <w:keepNext/>
      <w:keepLines/>
      <w:spacing w:before="480" w:after="120"/>
    </w:pPr>
    <w:rPr>
      <w:b/>
      <w:sz w:val="72"/>
      <w:szCs w:val="72"/>
    </w:rPr>
  </w:style>
  <w:style w:type="character" w:customStyle="1" w:styleId="a4">
    <w:name w:val="Название Знак"/>
    <w:basedOn w:val="a0"/>
    <w:link w:val="a3"/>
    <w:uiPriority w:val="10"/>
    <w:rsid w:val="00FD41C9"/>
    <w:rPr>
      <w:rFonts w:asciiTheme="majorHAnsi" w:eastAsiaTheme="majorEastAsia" w:hAnsiTheme="majorHAnsi" w:cstheme="majorBidi"/>
      <w:b/>
      <w:bCs/>
      <w:kern w:val="28"/>
      <w:sz w:val="32"/>
      <w:szCs w:val="32"/>
    </w:rPr>
  </w:style>
  <w:style w:type="paragraph" w:styleId="a5">
    <w:name w:val="Subtitle"/>
    <w:basedOn w:val="a"/>
    <w:next w:val="a"/>
    <w:link w:val="a6"/>
    <w:uiPriority w:val="99"/>
    <w:qFormat/>
    <w:rsid w:val="009524A2"/>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FD41C9"/>
    <w:rPr>
      <w:rFonts w:asciiTheme="majorHAnsi" w:eastAsiaTheme="majorEastAsia" w:hAnsiTheme="majorHAnsi" w:cstheme="majorBidi"/>
      <w:sz w:val="24"/>
      <w:szCs w:val="24"/>
    </w:rPr>
  </w:style>
  <w:style w:type="table" w:customStyle="1" w:styleId="a7">
    <w:name w:val="Стиль"/>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9">
    <w:name w:val="Стиль6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8">
    <w:name w:val="Стиль6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7">
    <w:name w:val="Стиль6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6">
    <w:name w:val="Стиль6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5">
    <w:name w:val="Стиль6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4">
    <w:name w:val="Стиль6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3">
    <w:name w:val="Стиль6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2">
    <w:name w:val="Стиль6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1">
    <w:name w:val="Стиль6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00">
    <w:name w:val="Стиль6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9">
    <w:name w:val="Стиль5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8">
    <w:name w:val="Стиль5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7">
    <w:name w:val="Стиль5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6">
    <w:name w:val="Стиль5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5">
    <w:name w:val="Стиль5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4">
    <w:name w:val="Стиль5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3">
    <w:name w:val="Стиль5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2">
    <w:name w:val="Стиль5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1">
    <w:name w:val="Стиль5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00">
    <w:name w:val="Стиль5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9">
    <w:name w:val="Стиль4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8">
    <w:name w:val="Стиль4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7">
    <w:name w:val="Стиль4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6">
    <w:name w:val="Стиль4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5">
    <w:name w:val="Стиль4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4">
    <w:name w:val="Стиль4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3">
    <w:name w:val="Стиль4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2">
    <w:name w:val="Стиль4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1">
    <w:name w:val="Стиль4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00">
    <w:name w:val="Стиль4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9">
    <w:name w:val="Стиль3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8">
    <w:name w:val="Стиль3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7">
    <w:name w:val="Стиль3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6">
    <w:name w:val="Стиль3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5">
    <w:name w:val="Стиль3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4">
    <w:name w:val="Стиль3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3">
    <w:name w:val="Стиль3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2">
    <w:name w:val="Стиль3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1">
    <w:name w:val="Стиль3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00">
    <w:name w:val="Стиль3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9">
    <w:name w:val="Стиль2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8">
    <w:name w:val="Стиль2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7">
    <w:name w:val="Стиль2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6">
    <w:name w:val="Стиль2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5">
    <w:name w:val="Стиль2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4">
    <w:name w:val="Стиль2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3">
    <w:name w:val="Стиль2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2">
    <w:name w:val="Стиль2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1">
    <w:name w:val="Стиль2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00">
    <w:name w:val="Стиль2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9">
    <w:name w:val="Стиль1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8">
    <w:name w:val="Стиль1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7">
    <w:name w:val="Стиль1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6">
    <w:name w:val="Стиль1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5">
    <w:name w:val="Стиль1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4">
    <w:name w:val="Стиль1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3">
    <w:name w:val="Стиль1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2">
    <w:name w:val="Стиль1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1">
    <w:name w:val="Стиль1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00">
    <w:name w:val="Стиль1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9">
    <w:name w:val="Стиль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8">
    <w:name w:val="Стиль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7">
    <w:name w:val="Стиль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a">
    <w:name w:val="Стиль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a">
    <w:name w:val="Стиль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a">
    <w:name w:val="Стиль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a">
    <w:name w:val="Стиль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a">
    <w:name w:val="Стиль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a">
    <w:name w:val="Стиль1"/>
    <w:basedOn w:val="TableNormal1"/>
    <w:uiPriority w:val="99"/>
    <w:rsid w:val="009524A2"/>
    <w:tblPr>
      <w:tblStyleRowBandSize w:val="1"/>
      <w:tblStyleColBandSize w:val="1"/>
      <w:tblCellMar>
        <w:top w:w="100" w:type="dxa"/>
        <w:left w:w="100" w:type="dxa"/>
        <w:bottom w:w="100" w:type="dxa"/>
        <w:right w:w="100" w:type="dxa"/>
      </w:tblCellMar>
    </w:tblPr>
  </w:style>
  <w:style w:type="paragraph" w:styleId="a8">
    <w:name w:val="Balloon Text"/>
    <w:basedOn w:val="a"/>
    <w:link w:val="a9"/>
    <w:uiPriority w:val="99"/>
    <w:semiHidden/>
    <w:rsid w:val="002A3D4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2A3D4F"/>
    <w:rPr>
      <w:rFonts w:ascii="Segoe UI" w:hAnsi="Segoe UI" w:cs="Segoe UI"/>
      <w:sz w:val="18"/>
      <w:szCs w:val="18"/>
    </w:rPr>
  </w:style>
  <w:style w:type="paragraph" w:customStyle="1" w:styleId="rvps2">
    <w:name w:val="rvps2"/>
    <w:basedOn w:val="a"/>
    <w:uiPriority w:val="99"/>
    <w:rsid w:val="00956093"/>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rsid w:val="00956093"/>
    <w:rPr>
      <w:rFonts w:cs="Times New Roman"/>
      <w:color w:val="0000FF"/>
      <w:u w:val="single"/>
    </w:rPr>
  </w:style>
  <w:style w:type="character" w:customStyle="1" w:styleId="rvts46">
    <w:name w:val="rvts46"/>
    <w:basedOn w:val="a0"/>
    <w:uiPriority w:val="99"/>
    <w:rsid w:val="00956093"/>
    <w:rPr>
      <w:rFonts w:cs="Times New Roman"/>
    </w:rPr>
  </w:style>
  <w:style w:type="paragraph" w:styleId="ab">
    <w:name w:val="Normal (Web)"/>
    <w:aliases w:val="Обычный (Web),Обычный (веб) Знак Знак,Знак1 Знак Знак,Знак1 Знак1,Знак1 Знак Знак1,Обычный (веб) Знак Знак2,Знак1 Знак2,Обычный (веб) Знак,Знак1 Знак,Знак1,Знак,Обычный (веб) Знак Знак2 Знак Знак Знак,Обычный (веб) Знак Знак2 Знак Знак,З"/>
    <w:basedOn w:val="a"/>
    <w:link w:val="1b"/>
    <w:uiPriority w:val="99"/>
    <w:rsid w:val="00DB5B9F"/>
    <w:pPr>
      <w:spacing w:before="100" w:beforeAutospacing="1" w:after="100" w:afterAutospacing="1" w:line="240" w:lineRule="auto"/>
    </w:pPr>
    <w:rPr>
      <w:rFonts w:ascii="Times New Roman" w:hAnsi="Times New Roman" w:cs="Times New Roman"/>
      <w:sz w:val="24"/>
      <w:szCs w:val="24"/>
    </w:rPr>
  </w:style>
  <w:style w:type="character" w:customStyle="1" w:styleId="1b">
    <w:name w:val="Обычный (веб) Знак1"/>
    <w:aliases w:val="Обычный (Web) Знак,Обычный (веб) Знак Знак Знак,Знак1 Знак Знак Знак,Знак1 Знак1 Знак,Знак1 Знак Знак1 Знак,Обычный (веб) Знак Знак2 Знак,Знак1 Знак2 Знак,Обычный (веб) Знак Знак1,Знак1 Знак Знак2,Знак1 Знак3,Знак Знак,З Знак"/>
    <w:link w:val="ab"/>
    <w:uiPriority w:val="99"/>
    <w:locked/>
    <w:rsid w:val="00DB5B9F"/>
    <w:rPr>
      <w:rFonts w:ascii="Times New Roman" w:hAnsi="Times New Roman"/>
      <w:sz w:val="24"/>
    </w:rPr>
  </w:style>
  <w:style w:type="character" w:customStyle="1" w:styleId="rvts9">
    <w:name w:val="rvts9"/>
    <w:basedOn w:val="a0"/>
    <w:uiPriority w:val="99"/>
    <w:rsid w:val="005E632D"/>
    <w:rPr>
      <w:rFonts w:cs="Times New Roman"/>
    </w:rPr>
  </w:style>
  <w:style w:type="paragraph" w:styleId="ac">
    <w:name w:val="header"/>
    <w:basedOn w:val="a"/>
    <w:link w:val="ad"/>
    <w:uiPriority w:val="99"/>
    <w:rsid w:val="009D47B5"/>
    <w:pPr>
      <w:tabs>
        <w:tab w:val="center" w:pos="4819"/>
        <w:tab w:val="right" w:pos="9639"/>
      </w:tabs>
      <w:spacing w:after="0" w:line="240" w:lineRule="auto"/>
    </w:pPr>
  </w:style>
  <w:style w:type="character" w:customStyle="1" w:styleId="ad">
    <w:name w:val="Верхний колонтитул Знак"/>
    <w:basedOn w:val="a0"/>
    <w:link w:val="ac"/>
    <w:uiPriority w:val="99"/>
    <w:locked/>
    <w:rsid w:val="009D47B5"/>
    <w:rPr>
      <w:rFonts w:cs="Times New Roman"/>
    </w:rPr>
  </w:style>
  <w:style w:type="paragraph" w:styleId="ae">
    <w:name w:val="footer"/>
    <w:basedOn w:val="a"/>
    <w:link w:val="af"/>
    <w:uiPriority w:val="99"/>
    <w:rsid w:val="009D47B5"/>
    <w:pPr>
      <w:tabs>
        <w:tab w:val="center" w:pos="4819"/>
        <w:tab w:val="right" w:pos="9639"/>
      </w:tabs>
      <w:spacing w:after="0" w:line="240" w:lineRule="auto"/>
    </w:pPr>
  </w:style>
  <w:style w:type="character" w:customStyle="1" w:styleId="af">
    <w:name w:val="Нижний колонтитул Знак"/>
    <w:basedOn w:val="a0"/>
    <w:link w:val="ae"/>
    <w:uiPriority w:val="99"/>
    <w:locked/>
    <w:rsid w:val="009D47B5"/>
    <w:rPr>
      <w:rFonts w:cs="Times New Roman"/>
    </w:rPr>
  </w:style>
  <w:style w:type="paragraph" w:styleId="af0">
    <w:name w:val="No Spacing"/>
    <w:link w:val="af1"/>
    <w:uiPriority w:val="99"/>
    <w:qFormat/>
    <w:rsid w:val="00407D27"/>
    <w:pPr>
      <w:spacing w:after="160" w:line="259" w:lineRule="auto"/>
    </w:pPr>
    <w:rPr>
      <w:rFonts w:cs="Times New Roman"/>
      <w:lang w:eastAsia="en-US"/>
    </w:rPr>
  </w:style>
  <w:style w:type="character" w:customStyle="1" w:styleId="af1">
    <w:name w:val="Без интервала Знак"/>
    <w:link w:val="af0"/>
    <w:uiPriority w:val="99"/>
    <w:locked/>
    <w:rsid w:val="00407D27"/>
    <w:rPr>
      <w:sz w:val="22"/>
      <w:lang w:eastAsia="en-US"/>
    </w:rPr>
  </w:style>
  <w:style w:type="table" w:styleId="af2">
    <w:name w:val="Table Grid"/>
    <w:basedOn w:val="a1"/>
    <w:uiPriority w:val="99"/>
    <w:rsid w:val="00843F88"/>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uiPriority w:val="99"/>
    <w:rsid w:val="00AE035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c">
    <w:name w:val="Сітка таблиці1"/>
    <w:uiPriority w:val="99"/>
    <w:rsid w:val="00416730"/>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ітка таблиці2"/>
    <w:uiPriority w:val="99"/>
    <w:rsid w:val="008E2F67"/>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ітка таблиці3"/>
    <w:uiPriority w:val="99"/>
    <w:rsid w:val="00F93AC2"/>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ітка таблиці4"/>
    <w:uiPriority w:val="99"/>
    <w:rsid w:val="00A67302"/>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99"/>
    <w:qFormat/>
    <w:rsid w:val="00A67302"/>
    <w:pPr>
      <w:spacing w:line="240" w:lineRule="auto"/>
      <w:ind w:left="720"/>
      <w:contextualSpacing/>
    </w:pPr>
    <w:rPr>
      <w:rFonts w:ascii="Liberation Serif" w:hAnsi="Liberation Serif" w:cs="Lohit Devanagari"/>
      <w:kern w:val="2"/>
      <w:sz w:val="24"/>
      <w:szCs w:val="24"/>
      <w:lang w:eastAsia="zh-CN" w:bidi="hi-IN"/>
    </w:rPr>
  </w:style>
  <w:style w:type="character" w:customStyle="1" w:styleId="rvts80">
    <w:name w:val="rvts80"/>
    <w:basedOn w:val="a0"/>
    <w:uiPriority w:val="99"/>
    <w:rsid w:val="00036A3A"/>
    <w:rPr>
      <w:rFonts w:cs="Times New Roman"/>
    </w:rPr>
  </w:style>
  <w:style w:type="paragraph" w:customStyle="1" w:styleId="rvps14">
    <w:name w:val="rvps14"/>
    <w:basedOn w:val="a"/>
    <w:uiPriority w:val="99"/>
    <w:rsid w:val="00036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uiPriority w:val="99"/>
    <w:rsid w:val="00036A3A"/>
    <w:rPr>
      <w:rFonts w:cs="Times New Roman"/>
    </w:rPr>
  </w:style>
  <w:style w:type="paragraph" w:customStyle="1" w:styleId="af4">
    <w:name w:val="Нормальний текст"/>
    <w:basedOn w:val="a"/>
    <w:link w:val="af5"/>
    <w:uiPriority w:val="99"/>
    <w:rsid w:val="00036A3A"/>
    <w:pPr>
      <w:spacing w:before="120" w:after="0" w:line="240" w:lineRule="auto"/>
      <w:ind w:firstLine="567"/>
      <w:jc w:val="both"/>
    </w:pPr>
    <w:rPr>
      <w:rFonts w:ascii="Antiqua" w:eastAsia="Times New Roman" w:hAnsi="Antiqua" w:cs="Times New Roman"/>
      <w:sz w:val="26"/>
      <w:szCs w:val="20"/>
      <w:lang w:eastAsia="ru-RU"/>
    </w:rPr>
  </w:style>
  <w:style w:type="table" w:customStyle="1" w:styleId="110">
    <w:name w:val="Сітка таблиці11"/>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ітка таблиці12"/>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15">
    <w:name w:val="rvts15"/>
    <w:uiPriority w:val="99"/>
    <w:rsid w:val="00036A3A"/>
  </w:style>
  <w:style w:type="table" w:customStyle="1" w:styleId="130">
    <w:name w:val="Сітка таблиці13"/>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ітка таблиці14"/>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44">
    <w:name w:val="rvts44"/>
    <w:basedOn w:val="a0"/>
    <w:uiPriority w:val="99"/>
    <w:rsid w:val="00036A3A"/>
    <w:rPr>
      <w:rFonts w:cs="Times New Roman"/>
    </w:rPr>
  </w:style>
  <w:style w:type="paragraph" w:customStyle="1" w:styleId="rvps7">
    <w:name w:val="rvps7"/>
    <w:basedOn w:val="a"/>
    <w:uiPriority w:val="99"/>
    <w:rsid w:val="00036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uiPriority w:val="99"/>
    <w:rsid w:val="00036A3A"/>
    <w:rPr>
      <w:rFonts w:cs="Times New Roman"/>
    </w:rPr>
  </w:style>
  <w:style w:type="table" w:customStyle="1" w:styleId="111">
    <w:name w:val="Сітка таблиці111"/>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ітка таблиці41"/>
    <w:uiPriority w:val="99"/>
    <w:rsid w:val="009F7B6B"/>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286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locked/>
    <w:rsid w:val="00286C7E"/>
    <w:rPr>
      <w:rFonts w:ascii="Courier New" w:hAnsi="Courier New" w:cs="Times New Roman"/>
      <w:sz w:val="20"/>
      <w:szCs w:val="20"/>
      <w:lang w:val="ru-RU" w:eastAsia="ru-RU"/>
    </w:rPr>
  </w:style>
  <w:style w:type="character" w:customStyle="1" w:styleId="s0">
    <w:name w:val="s0"/>
    <w:uiPriority w:val="99"/>
    <w:rsid w:val="00DB4967"/>
    <w:rPr>
      <w:rFonts w:ascii="Times New Roman" w:hAnsi="Times New Roman"/>
      <w:color w:val="000000"/>
    </w:rPr>
  </w:style>
  <w:style w:type="character" w:customStyle="1" w:styleId="af5">
    <w:name w:val="Нормальний текст Знак"/>
    <w:link w:val="af4"/>
    <w:uiPriority w:val="99"/>
    <w:locked/>
    <w:rsid w:val="003A5E74"/>
    <w:rPr>
      <w:rFonts w:ascii="Antiqua" w:hAnsi="Antiqua"/>
      <w:sz w:val="20"/>
      <w:lang w:eastAsia="ru-RU"/>
    </w:rPr>
  </w:style>
  <w:style w:type="character" w:styleId="af6">
    <w:name w:val="annotation reference"/>
    <w:basedOn w:val="a0"/>
    <w:uiPriority w:val="99"/>
    <w:semiHidden/>
    <w:rsid w:val="00B7097F"/>
    <w:rPr>
      <w:rFonts w:cs="Times New Roman"/>
      <w:sz w:val="16"/>
      <w:szCs w:val="16"/>
    </w:rPr>
  </w:style>
  <w:style w:type="paragraph" w:styleId="af7">
    <w:name w:val="annotation text"/>
    <w:basedOn w:val="a"/>
    <w:link w:val="af8"/>
    <w:uiPriority w:val="99"/>
    <w:semiHidden/>
    <w:rsid w:val="00B7097F"/>
    <w:pPr>
      <w:spacing w:line="240" w:lineRule="auto"/>
    </w:pPr>
    <w:rPr>
      <w:sz w:val="20"/>
      <w:szCs w:val="20"/>
    </w:rPr>
  </w:style>
  <w:style w:type="character" w:customStyle="1" w:styleId="af8">
    <w:name w:val="Текст примечания Знак"/>
    <w:basedOn w:val="a0"/>
    <w:link w:val="af7"/>
    <w:uiPriority w:val="99"/>
    <w:semiHidden/>
    <w:locked/>
    <w:rsid w:val="00B7097F"/>
    <w:rPr>
      <w:rFonts w:cs="Times New Roman"/>
      <w:sz w:val="20"/>
      <w:szCs w:val="20"/>
    </w:rPr>
  </w:style>
  <w:style w:type="paragraph" w:styleId="af9">
    <w:name w:val="annotation subject"/>
    <w:basedOn w:val="af7"/>
    <w:next w:val="af7"/>
    <w:link w:val="afa"/>
    <w:uiPriority w:val="99"/>
    <w:semiHidden/>
    <w:rsid w:val="00B7097F"/>
    <w:rPr>
      <w:b/>
      <w:bCs/>
    </w:rPr>
  </w:style>
  <w:style w:type="character" w:customStyle="1" w:styleId="afa">
    <w:name w:val="Тема примечания Знак"/>
    <w:basedOn w:val="af8"/>
    <w:link w:val="af9"/>
    <w:uiPriority w:val="99"/>
    <w:semiHidden/>
    <w:locked/>
    <w:rsid w:val="00B7097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97592">
      <w:marLeft w:val="0"/>
      <w:marRight w:val="0"/>
      <w:marTop w:val="0"/>
      <w:marBottom w:val="0"/>
      <w:divBdr>
        <w:top w:val="none" w:sz="0" w:space="0" w:color="auto"/>
        <w:left w:val="none" w:sz="0" w:space="0" w:color="auto"/>
        <w:bottom w:val="none" w:sz="0" w:space="0" w:color="auto"/>
        <w:right w:val="none" w:sz="0" w:space="0" w:color="auto"/>
      </w:divBdr>
      <w:divsChild>
        <w:div w:id="2124297594">
          <w:marLeft w:val="0"/>
          <w:marRight w:val="0"/>
          <w:marTop w:val="150"/>
          <w:marBottom w:val="150"/>
          <w:divBdr>
            <w:top w:val="none" w:sz="0" w:space="0" w:color="auto"/>
            <w:left w:val="none" w:sz="0" w:space="0" w:color="auto"/>
            <w:bottom w:val="none" w:sz="0" w:space="0" w:color="auto"/>
            <w:right w:val="none" w:sz="0" w:space="0" w:color="auto"/>
          </w:divBdr>
        </w:div>
      </w:divsChild>
    </w:div>
    <w:div w:id="2124297593">
      <w:marLeft w:val="0"/>
      <w:marRight w:val="0"/>
      <w:marTop w:val="0"/>
      <w:marBottom w:val="0"/>
      <w:divBdr>
        <w:top w:val="none" w:sz="0" w:space="0" w:color="auto"/>
        <w:left w:val="none" w:sz="0" w:space="0" w:color="auto"/>
        <w:bottom w:val="none" w:sz="0" w:space="0" w:color="auto"/>
        <w:right w:val="none" w:sz="0" w:space="0" w:color="auto"/>
      </w:divBdr>
    </w:div>
    <w:div w:id="2124297595">
      <w:marLeft w:val="0"/>
      <w:marRight w:val="0"/>
      <w:marTop w:val="0"/>
      <w:marBottom w:val="0"/>
      <w:divBdr>
        <w:top w:val="none" w:sz="0" w:space="0" w:color="auto"/>
        <w:left w:val="none" w:sz="0" w:space="0" w:color="auto"/>
        <w:bottom w:val="none" w:sz="0" w:space="0" w:color="auto"/>
        <w:right w:val="none" w:sz="0" w:space="0" w:color="auto"/>
      </w:divBdr>
    </w:div>
    <w:div w:id="2124297596">
      <w:marLeft w:val="0"/>
      <w:marRight w:val="0"/>
      <w:marTop w:val="0"/>
      <w:marBottom w:val="0"/>
      <w:divBdr>
        <w:top w:val="none" w:sz="0" w:space="0" w:color="auto"/>
        <w:left w:val="none" w:sz="0" w:space="0" w:color="auto"/>
        <w:bottom w:val="none" w:sz="0" w:space="0" w:color="auto"/>
        <w:right w:val="none" w:sz="0" w:space="0" w:color="auto"/>
      </w:divBdr>
    </w:div>
    <w:div w:id="2124297597">
      <w:marLeft w:val="0"/>
      <w:marRight w:val="0"/>
      <w:marTop w:val="0"/>
      <w:marBottom w:val="0"/>
      <w:divBdr>
        <w:top w:val="none" w:sz="0" w:space="0" w:color="auto"/>
        <w:left w:val="none" w:sz="0" w:space="0" w:color="auto"/>
        <w:bottom w:val="none" w:sz="0" w:space="0" w:color="auto"/>
        <w:right w:val="none" w:sz="0" w:space="0" w:color="auto"/>
      </w:divBdr>
    </w:div>
    <w:div w:id="2124297598">
      <w:marLeft w:val="0"/>
      <w:marRight w:val="0"/>
      <w:marTop w:val="0"/>
      <w:marBottom w:val="0"/>
      <w:divBdr>
        <w:top w:val="none" w:sz="0" w:space="0" w:color="auto"/>
        <w:left w:val="none" w:sz="0" w:space="0" w:color="auto"/>
        <w:bottom w:val="none" w:sz="0" w:space="0" w:color="auto"/>
        <w:right w:val="none" w:sz="0" w:space="0" w:color="auto"/>
      </w:divBdr>
      <w:divsChild>
        <w:div w:id="2124297603">
          <w:marLeft w:val="0"/>
          <w:marRight w:val="0"/>
          <w:marTop w:val="150"/>
          <w:marBottom w:val="150"/>
          <w:divBdr>
            <w:top w:val="none" w:sz="0" w:space="0" w:color="auto"/>
            <w:left w:val="none" w:sz="0" w:space="0" w:color="auto"/>
            <w:bottom w:val="none" w:sz="0" w:space="0" w:color="auto"/>
            <w:right w:val="none" w:sz="0" w:space="0" w:color="auto"/>
          </w:divBdr>
        </w:div>
      </w:divsChild>
    </w:div>
    <w:div w:id="2124297599">
      <w:marLeft w:val="0"/>
      <w:marRight w:val="0"/>
      <w:marTop w:val="0"/>
      <w:marBottom w:val="0"/>
      <w:divBdr>
        <w:top w:val="none" w:sz="0" w:space="0" w:color="auto"/>
        <w:left w:val="none" w:sz="0" w:space="0" w:color="auto"/>
        <w:bottom w:val="none" w:sz="0" w:space="0" w:color="auto"/>
        <w:right w:val="none" w:sz="0" w:space="0" w:color="auto"/>
      </w:divBdr>
    </w:div>
    <w:div w:id="2124297600">
      <w:marLeft w:val="0"/>
      <w:marRight w:val="0"/>
      <w:marTop w:val="0"/>
      <w:marBottom w:val="0"/>
      <w:divBdr>
        <w:top w:val="none" w:sz="0" w:space="0" w:color="auto"/>
        <w:left w:val="none" w:sz="0" w:space="0" w:color="auto"/>
        <w:bottom w:val="none" w:sz="0" w:space="0" w:color="auto"/>
        <w:right w:val="none" w:sz="0" w:space="0" w:color="auto"/>
      </w:divBdr>
    </w:div>
    <w:div w:id="2124297601">
      <w:marLeft w:val="0"/>
      <w:marRight w:val="0"/>
      <w:marTop w:val="0"/>
      <w:marBottom w:val="0"/>
      <w:divBdr>
        <w:top w:val="none" w:sz="0" w:space="0" w:color="auto"/>
        <w:left w:val="none" w:sz="0" w:space="0" w:color="auto"/>
        <w:bottom w:val="none" w:sz="0" w:space="0" w:color="auto"/>
        <w:right w:val="none" w:sz="0" w:space="0" w:color="auto"/>
      </w:divBdr>
    </w:div>
    <w:div w:id="2124297602">
      <w:marLeft w:val="0"/>
      <w:marRight w:val="0"/>
      <w:marTop w:val="0"/>
      <w:marBottom w:val="0"/>
      <w:divBdr>
        <w:top w:val="none" w:sz="0" w:space="0" w:color="auto"/>
        <w:left w:val="none" w:sz="0" w:space="0" w:color="auto"/>
        <w:bottom w:val="none" w:sz="0" w:space="0" w:color="auto"/>
        <w:right w:val="none" w:sz="0" w:space="0" w:color="auto"/>
      </w:divBdr>
    </w:div>
    <w:div w:id="2124297604">
      <w:marLeft w:val="0"/>
      <w:marRight w:val="0"/>
      <w:marTop w:val="0"/>
      <w:marBottom w:val="0"/>
      <w:divBdr>
        <w:top w:val="none" w:sz="0" w:space="0" w:color="auto"/>
        <w:left w:val="none" w:sz="0" w:space="0" w:color="auto"/>
        <w:bottom w:val="none" w:sz="0" w:space="0" w:color="auto"/>
        <w:right w:val="none" w:sz="0" w:space="0" w:color="auto"/>
      </w:divBdr>
    </w:div>
    <w:div w:id="2124297605">
      <w:marLeft w:val="0"/>
      <w:marRight w:val="0"/>
      <w:marTop w:val="0"/>
      <w:marBottom w:val="0"/>
      <w:divBdr>
        <w:top w:val="none" w:sz="0" w:space="0" w:color="auto"/>
        <w:left w:val="none" w:sz="0" w:space="0" w:color="auto"/>
        <w:bottom w:val="none" w:sz="0" w:space="0" w:color="auto"/>
        <w:right w:val="none" w:sz="0" w:space="0" w:color="auto"/>
      </w:divBdr>
    </w:div>
    <w:div w:id="2124297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30149</Words>
  <Characters>17185</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Закон України від 30</vt:lpstr>
    </vt:vector>
  </TitlesOfParts>
  <Company>Krokoz™</Company>
  <LinksUpToDate>false</LinksUpToDate>
  <CharactersWithSpaces>47240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України від 30</dc:title>
  <dc:creator>Максименко Лариса Петрівна</dc:creator>
  <cp:lastModifiedBy>Шевченко Володимир Олександрович</cp:lastModifiedBy>
  <cp:revision>2</cp:revision>
  <cp:lastPrinted>2021-12-28T12:17:00Z</cp:lastPrinted>
  <dcterms:created xsi:type="dcterms:W3CDTF">2022-01-11T14:05:00Z</dcterms:created>
  <dcterms:modified xsi:type="dcterms:W3CDTF">2022-01-11T14:05:00Z</dcterms:modified>
</cp:coreProperties>
</file>